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VIR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Vir,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Vir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VIR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4.082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2.313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56,66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2.311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56,61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2.246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97,19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KRISTIJAN KAPOVIĆ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1.193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51,58%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ANTONIO VUČETIĆ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IGOR VUČETIĆ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657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28,40%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JADRANKA OKREŠA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JOSIP BAŠIĆ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198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8,56%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VLADO LIVERIĆ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IVE GLAVAN, magistar ekonomije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198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8,56%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ZITA ŽEPINA, diplomirana pravnica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Vir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KRISTIJAN KAPOVIĆ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ANTONIO VUČETIĆ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VIR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IVICA MARINOVIĆ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