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2D" w:rsidRPr="00DF792D" w:rsidRDefault="00DF792D" w:rsidP="00DF792D">
      <w:pPr>
        <w:jc w:val="right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bookmarkStart w:id="0" w:name="_GoBack"/>
      <w:bookmarkEnd w:id="0"/>
      <w:r w:rsidRPr="00DF792D">
        <w:rPr>
          <w:rFonts w:ascii="Times New Roman" w:eastAsia="Times New Roman" w:hAnsi="Times New Roman" w:cs="Times New Roman"/>
          <w:b/>
          <w:sz w:val="24"/>
          <w:szCs w:val="24"/>
        </w:rPr>
        <w:t>PRILOG 2.b</w:t>
      </w:r>
    </w:p>
    <w:p w:rsidR="00DF792D" w:rsidRPr="00DF792D" w:rsidRDefault="00DF792D" w:rsidP="00DF79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92D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Obveznik ___________________________________                                                                                                                               </w:t>
      </w:r>
    </w:p>
    <w:p w:rsidR="00DF792D" w:rsidRPr="00DF792D" w:rsidRDefault="00DF792D" w:rsidP="00DF7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792D" w:rsidRPr="00DF792D" w:rsidRDefault="00DF792D" w:rsidP="00DF79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92D">
        <w:rPr>
          <w:rFonts w:ascii="Times New Roman" w:eastAsia="Times New Roman" w:hAnsi="Times New Roman" w:cs="Times New Roman"/>
          <w:b/>
          <w:sz w:val="24"/>
          <w:szCs w:val="24"/>
        </w:rPr>
        <w:t>UPITNIK O FISKALNOJ ODGOVORNOSTI ZA TRGOVAČKA DRUŠTVA I DRUGE PRAVNE OSOBE UTVRĐENE U REGISTRU TRGOVAČKIH DRUŠTAVA I DRUGIH PRAVNIH OSOBA OBVEZNIKA DAVANJA IZJAVE O FISKALNOJ ODGOVORNOSTI ZA _______ GODINU</w:t>
      </w:r>
    </w:p>
    <w:tbl>
      <w:tblPr>
        <w:tblW w:w="14332" w:type="dxa"/>
        <w:tblInd w:w="93" w:type="dxa"/>
        <w:tblLook w:val="0000" w:firstRow="0" w:lastRow="0" w:firstColumn="0" w:lastColumn="0" w:noHBand="0" w:noVBand="0"/>
      </w:tblPr>
      <w:tblGrid>
        <w:gridCol w:w="900"/>
        <w:gridCol w:w="4960"/>
        <w:gridCol w:w="560"/>
        <w:gridCol w:w="505"/>
        <w:gridCol w:w="567"/>
        <w:gridCol w:w="2097"/>
        <w:gridCol w:w="4743"/>
      </w:tblGrid>
      <w:tr w:rsidR="00DF792D" w:rsidRPr="00DF792D" w:rsidTr="0089668E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Redni</w:t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broj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DF792D" w:rsidRPr="00DF792D" w:rsidTr="0089668E">
        <w:trPr>
          <w:trHeight w:val="3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792D" w:rsidRPr="00DF792D" w:rsidTr="0089668E">
        <w:trPr>
          <w:trHeight w:val="431"/>
        </w:trPr>
        <w:tc>
          <w:tcPr>
            <w:tcW w:w="1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IZVRŠAVANJE </w:t>
            </w:r>
          </w:p>
        </w:tc>
      </w:tr>
      <w:tr w:rsidR="00DF792D" w:rsidRPr="00DF792D" w:rsidTr="0089668E">
        <w:trPr>
          <w:trHeight w:val="21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Poduzete su sve potrebne mjere za potpunu naplatu prihoda iz poslovnih aktivnost trgovačkog društva 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na uzorku od 10% dospjelih nenaplaćenih potraživanja sa stanjem 31. prosinca dokazi o poduzetim radnjama za naplatu (preslike odnosno reference odgovarajućih dopisa, opomena), a najviše 100</w:t>
            </w:r>
          </w:p>
        </w:tc>
      </w:tr>
      <w:tr w:rsidR="00DF792D" w:rsidRPr="00DF792D" w:rsidTr="0089668E">
        <w:trPr>
          <w:trHeight w:val="12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Isplata sredstava temeljila se na vjerodostojnoj dokumentaciji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nasumično odabrano 1% svih isplata, a najviše 50</w:t>
            </w: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F792D" w:rsidRPr="00DF792D" w:rsidTr="0089668E">
        <w:trPr>
          <w:trHeight w:val="11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Pratilo se i kontroliralo namjensko isplaćivanje donacija i sponzorstava do krajnjeg korisnika te korištenje istih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uzorak od 5 % ukupnog broja svih transfera i minimalno 5 % ukupne vrijednosti svih transfera </w:t>
            </w:r>
          </w:p>
        </w:tc>
      </w:tr>
      <w:tr w:rsidR="00DF792D" w:rsidRPr="00DF792D" w:rsidTr="0089668E">
        <w:trPr>
          <w:trHeight w:val="19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Prilikom isporuke opreme/izvođenja radova obavljene su sve potrebne provjere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provjera na uzorku 5% ukupnog broja svih nabava dugotrajne nefinancijske imovine i minimalno 5% ukupne vrijednosti svih nabava dugotrajne nefinancijske imovine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4.1.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na način utvrđen ugovorom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4.2.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u skladu sa vremenskim rokovima iz ugovora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5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4.3.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u skladu sa zahtjevima količine i kvalitete iz ugovora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4.4.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na lokacijama koje su navedene u ugovoru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4.5.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prema opisu iz ugovora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62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4.6.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isporučena/Radovi su izvedeni sukladno nacrtima, analizama, modelima, uzorcima iz ugovora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50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4.7.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Oprema je instalirana i u upotrebi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priložiti odgovarajući dokaz</w:t>
            </w:r>
          </w:p>
        </w:tc>
      </w:tr>
      <w:tr w:rsidR="00DF792D" w:rsidRPr="00DF792D" w:rsidTr="0089668E">
        <w:trPr>
          <w:trHeight w:val="7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Svi ugovori se čuvaju i arhiviraju sukladno propisima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na akt o čuvanju gradiva</w:t>
            </w:r>
          </w:p>
        </w:tc>
      </w:tr>
    </w:tbl>
    <w:p w:rsidR="00DF792D" w:rsidRPr="00DF792D" w:rsidRDefault="00DF792D" w:rsidP="00DF792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F792D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DF792D" w:rsidRPr="00DF792D" w:rsidRDefault="00DF792D" w:rsidP="00DF79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DF792D" w:rsidRPr="00DF792D" w:rsidRDefault="00DF792D" w:rsidP="00DF79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DF792D" w:rsidRPr="00DF792D" w:rsidRDefault="00DF792D" w:rsidP="00DF79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DF792D" w:rsidRPr="00DF792D" w:rsidRDefault="00DF792D" w:rsidP="00DF792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U ćelije označene sivom bojom nije dozvoljeno upisivati odgovore.</w:t>
      </w:r>
    </w:p>
    <w:p w:rsidR="00DF792D" w:rsidRPr="00DF792D" w:rsidRDefault="00DF792D" w:rsidP="00DF792D">
      <w:pPr>
        <w:spacing w:after="0"/>
        <w:rPr>
          <w:rFonts w:ascii="Calibri" w:eastAsia="Times New Roman" w:hAnsi="Calibri" w:cs="Times New Roman"/>
          <w:b/>
        </w:rPr>
        <w:sectPr w:rsidR="00DF792D" w:rsidRPr="00DF792D" w:rsidSect="000E0913">
          <w:footerReference w:type="even" r:id="rId9"/>
          <w:footerReference w:type="default" r:id="rId10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332" w:type="dxa"/>
        <w:tblInd w:w="93" w:type="dxa"/>
        <w:tblLook w:val="0000" w:firstRow="0" w:lastRow="0" w:firstColumn="0" w:lastColumn="0" w:noHBand="0" w:noVBand="0"/>
      </w:tblPr>
      <w:tblGrid>
        <w:gridCol w:w="900"/>
        <w:gridCol w:w="4960"/>
        <w:gridCol w:w="560"/>
        <w:gridCol w:w="505"/>
        <w:gridCol w:w="639"/>
        <w:gridCol w:w="2171"/>
        <w:gridCol w:w="4597"/>
      </w:tblGrid>
      <w:tr w:rsidR="00DF792D" w:rsidRPr="00DF792D" w:rsidTr="0089668E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</w:t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broj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DF792D" w:rsidRPr="00DF792D" w:rsidTr="0089668E">
        <w:trPr>
          <w:trHeight w:val="6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45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792D" w:rsidRPr="00DF792D" w:rsidTr="0089668E">
        <w:trPr>
          <w:trHeight w:val="893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JAVNA NABAVA </w:t>
            </w: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dokazati na uzorku od 5% ugovora/objava/provedenih postupaka javne nabave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U zaključenim ugovorima o nabavama velike vrijednosti ugovoreni su instrumenti za osiguranje urednog ispunjenja ugovornih obveza  ili odredbe o ugovornoj kazni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ugovora, navesti članak u kojem stoje odredbe o instrumentima urednog ispunjenja ugovornih obveza  ili odredbe o ugovornoj kazni</w:t>
            </w:r>
          </w:p>
        </w:tc>
      </w:tr>
      <w:tr w:rsidR="00DF792D" w:rsidRPr="00DF792D" w:rsidTr="0089668E">
        <w:trPr>
          <w:trHeight w:val="10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Ugovori o javnoj nabavi zaključeni su u skladu s uvjetima određenim u dokumentaciji za nadmetanje i odabranom ponudom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dokumentacije o provedenim postupcima i preslike odnosno reference ugovora</w:t>
            </w:r>
          </w:p>
        </w:tc>
      </w:tr>
      <w:tr w:rsidR="00DF792D" w:rsidRPr="00DF792D" w:rsidTr="0089668E">
        <w:trPr>
          <w:trHeight w:val="10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Za sve predmete javne nabave čija je procijenjena vrijednost jednaka ili veća od 200.000,00 kuna</w:t>
            </w:r>
            <w:r w:rsidRPr="00DF792D">
              <w:rPr>
                <w:rFonts w:ascii="Calibri" w:eastAsia="Times New Roman" w:hAnsi="Calibri" w:cs="Times New Roman"/>
              </w:rPr>
              <w:t xml:space="preserve"> </w:t>
            </w: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za nabavu robe i usluga, odnosno za nabavu radova jednaka ili veća od 500.000,00 kuna provedeni su postupci javne nabave sukladno odredbama Zakona o javnoj nabavi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oznake i datum objave </w:t>
            </w:r>
          </w:p>
        </w:tc>
      </w:tr>
      <w:tr w:rsidR="00DF792D" w:rsidRPr="00DF792D" w:rsidTr="0089668E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Za provedene postupke javne nabave u Elektroničkom oglasniku javne nabave objavljene su odgovarajuće objave sukladno Zakonu o javnoj nabavi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oznake i datum objave</w:t>
            </w:r>
          </w:p>
        </w:tc>
      </w:tr>
      <w:tr w:rsidR="00DF792D" w:rsidRPr="00DF792D" w:rsidTr="0089668E">
        <w:trPr>
          <w:trHeight w:val="26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Na internetskim stranicama (ili u službenim glasilu ili na oglasnoj ploči ili na drugi način) je dostupan popis gospodarskih subjekata s kojima je obveznik odnosno predstavnik naručitelja ili s njime povezane osobe u sukobu interesa u smislu propisa o javnoj nabavi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adresa internetske stranice ili broj i naziv službenog glasila ili druga oznaka mjesta gdje je popis objavljen </w:t>
            </w:r>
          </w:p>
        </w:tc>
      </w:tr>
      <w:tr w:rsidR="00DF792D" w:rsidRPr="00DF792D" w:rsidTr="0089668E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Donesen je plan nabave u skladu s propisima o javnoj nabavi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adresa internetskih stranicama gdje je objavljen plan nabave</w:t>
            </w:r>
          </w:p>
        </w:tc>
      </w:tr>
      <w:tr w:rsidR="00DF792D" w:rsidRPr="00DF792D" w:rsidTr="0089668E">
        <w:trPr>
          <w:trHeight w:val="12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U pripremi i provedbi postupaka javne nabave najmanje jedan ovlašteni predstavnik imao je važeći certifikat u području javne nabave u skladu s propisima o javnoj nabavi.</w:t>
            </w:r>
            <w:r w:rsidRPr="00DF792D" w:rsidDel="009464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potvrda i internih odluka o imenovanju ovlaštenih predstavnika naručitelja</w:t>
            </w:r>
          </w:p>
        </w:tc>
      </w:tr>
      <w:tr w:rsidR="00DF792D" w:rsidRPr="00DF792D" w:rsidTr="0089668E">
        <w:trPr>
          <w:trHeight w:val="15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U pripremi tehničke specifikacije sudjelovale su osobe različite od  ovlaštenih predstavnika naručitelja koje ocjenjuju ponude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imena osoba koje su sudjelovale u pripremi tehničke dokumentacije i preslika odnosno referenca internih odluka o imenovanju ovlaštenih predstavnika naručitelja</w:t>
            </w:r>
          </w:p>
        </w:tc>
      </w:tr>
      <w:tr w:rsidR="00DF792D" w:rsidRPr="00DF792D" w:rsidTr="0089668E">
        <w:trPr>
          <w:trHeight w:val="13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Ovlašteni predstavnici naručitelja koji daju prijedlog za odluku o odabiru bile su različite od osoba koje prate provedbu ugovora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internih odluka o imenovanju ovlaštenih predstavnika naručitelja i imena osoba koje prate provedbu ugovora</w:t>
            </w:r>
          </w:p>
        </w:tc>
      </w:tr>
      <w:tr w:rsidR="00DF792D" w:rsidRPr="00DF792D" w:rsidTr="0089668E">
        <w:trPr>
          <w:trHeight w:val="9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Naručitelj vodi registar ugovora o javnoj nabavi i okvirnih sporazuma koji sadrži podatke u skladu s propisima o javnoj nabavi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adresa internetskih stranicama gdje je objavljen registar ugovora o javnoj nabavi</w:t>
            </w:r>
            <w:r w:rsidRPr="00DF792D">
              <w:rPr>
                <w:rFonts w:ascii="Calibri" w:eastAsia="Times New Roman" w:hAnsi="Calibri" w:cs="Times New Roman"/>
              </w:rPr>
              <w:t xml:space="preserve"> </w:t>
            </w: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i okvirnih sporazuma  </w:t>
            </w:r>
          </w:p>
        </w:tc>
      </w:tr>
      <w:tr w:rsidR="00DF792D" w:rsidRPr="00DF792D" w:rsidTr="0089668E">
        <w:trPr>
          <w:trHeight w:val="9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Sva dokumentacija o svakom postupku javne nabave čuva se najmanje četiri godine od završetka postupka javne nabave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ovitka predmeta</w:t>
            </w:r>
          </w:p>
        </w:tc>
      </w:tr>
      <w:tr w:rsidR="00DF792D" w:rsidRPr="00DF792D" w:rsidTr="0089668E">
        <w:trPr>
          <w:trHeight w:val="8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Ugovori o nabavi javnih usluga iz Dodatka II. B sklopljeni su na temelju odredaba Zakona o javnoj nabavi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preslike odnosno reference dokumentacije o nabavi i sklopljenih ugovora</w:t>
            </w:r>
          </w:p>
        </w:tc>
      </w:tr>
      <w:tr w:rsidR="00DF792D" w:rsidRPr="00DF792D" w:rsidTr="0089668E">
        <w:trPr>
          <w:trHeight w:val="1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Do 31. ožujka tijelu nadležnom za sustav javne nabave dostavljeno je  izvješće o javnoj nabavi za prethodnu godinu koje sadrži podatke sukladno Zakonu o javnoj nabavi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izvješća</w:t>
            </w:r>
          </w:p>
        </w:tc>
      </w:tr>
      <w:tr w:rsidR="00DF792D" w:rsidRPr="00DF792D" w:rsidTr="0089668E">
        <w:trPr>
          <w:trHeight w:val="8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Donesen je akt kojim su uređena pitanja nabave za nabavu robe i usluga odnosno za nabavu radova na koje se ne primjenjuje Zakon o javnoj nabavi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>preslika odnosno referenca akta</w:t>
            </w:r>
          </w:p>
        </w:tc>
      </w:tr>
    </w:tbl>
    <w:p w:rsidR="00DF792D" w:rsidRPr="00DF792D" w:rsidRDefault="00DF792D" w:rsidP="00DF792D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DF792D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color w:val="000000"/>
          <w:sz w:val="20"/>
          <w:szCs w:val="20"/>
        </w:rPr>
        <w:t>Ako je provođenje postupaka javne nabave centralizirano, obveznik odgovara „NIJE PRIMJENJIVO – N/P“.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DF792D" w:rsidRPr="00DF792D" w:rsidRDefault="00DF792D" w:rsidP="00DF792D">
      <w:pPr>
        <w:spacing w:after="0"/>
        <w:rPr>
          <w:rFonts w:ascii="Calibri" w:eastAsia="Times New Roman" w:hAnsi="Calibri" w:cs="Times New Roman"/>
          <w:b/>
        </w:rPr>
      </w:pPr>
    </w:p>
    <w:p w:rsidR="00DF792D" w:rsidRPr="00DF792D" w:rsidRDefault="00DF792D" w:rsidP="00DF792D">
      <w:pPr>
        <w:spacing w:after="0"/>
        <w:rPr>
          <w:rFonts w:ascii="Calibri" w:eastAsia="Times New Roman" w:hAnsi="Calibri" w:cs="Times New Roman"/>
          <w:b/>
        </w:rPr>
        <w:sectPr w:rsidR="00DF792D" w:rsidRPr="00DF792D" w:rsidSect="00773BC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620" w:type="dxa"/>
        <w:tblInd w:w="93" w:type="dxa"/>
        <w:tblLook w:val="0000" w:firstRow="0" w:lastRow="0" w:firstColumn="0" w:lastColumn="0" w:noHBand="0" w:noVBand="0"/>
      </w:tblPr>
      <w:tblGrid>
        <w:gridCol w:w="900"/>
        <w:gridCol w:w="4960"/>
        <w:gridCol w:w="560"/>
        <w:gridCol w:w="505"/>
        <w:gridCol w:w="567"/>
        <w:gridCol w:w="2097"/>
        <w:gridCol w:w="4031"/>
      </w:tblGrid>
      <w:tr w:rsidR="00DF792D" w:rsidRPr="00DF792D" w:rsidTr="0089668E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</w:t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broj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DF792D" w:rsidRPr="00DF792D" w:rsidTr="0089668E">
        <w:trPr>
          <w:trHeight w:val="5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DJELOMIČNO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4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792D" w:rsidRPr="00DF792D" w:rsidTr="0089668E">
        <w:trPr>
          <w:trHeight w:val="611"/>
        </w:trPr>
        <w:tc>
          <w:tcPr>
            <w:tcW w:w="13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sz w:val="20"/>
                <w:szCs w:val="20"/>
              </w:rPr>
              <w:t>RAČUNOVODSTVO</w:t>
            </w:r>
          </w:p>
        </w:tc>
      </w:tr>
      <w:tr w:rsidR="00DF792D" w:rsidRPr="00DF792D" w:rsidTr="0089668E">
        <w:trPr>
          <w:trHeight w:val="155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Prihodi i rashodi su evidentirani u glavnoj knjizi na temelju nastanka poslovnog događaja i u izvještajnom razdoblju na koje se odnose neovisno o naplati odnosno plaćanju.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uzorak 1% svih dokumenata temeljem kojih su evidentirani poslovni događaji (ulazni računi, obračuni i dr.), a najviše 100 </w:t>
            </w:r>
          </w:p>
        </w:tc>
      </w:tr>
      <w:tr w:rsidR="00DF792D" w:rsidRPr="00DF792D" w:rsidTr="0089668E">
        <w:trPr>
          <w:trHeight w:val="10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U potpisanim ugovorima s dobavljačima/pružateljima usluga/izvršiteljima radova detaljno je utvrđena vrsta robe/usluga/radova koji se nabavljaju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5% svih ugovora i minimalno 5% ukupne vrijednosti svih ugovora</w:t>
            </w:r>
          </w:p>
        </w:tc>
      </w:tr>
      <w:tr w:rsidR="00DF792D" w:rsidRPr="00DF792D" w:rsidTr="0089668E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Iz primke, otpremnice i drugog odgovarajućeg dokumenta potpisanog od skladištara ili druge osobe zadužene za zaprimanje robe i dobavljača vidljivo je da je prilikom preuzimanja robe utvrđena količina, stanje i kvaliteta zaprimljene robe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preslike odnosno reference dokumenata na uzorku 5% svih dokumenata, a najviše 100</w:t>
            </w:r>
          </w:p>
        </w:tc>
      </w:tr>
      <w:tr w:rsidR="00DF792D" w:rsidRPr="00DF792D" w:rsidTr="0089668E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Postoji izvještaj o obavljenoj usluzi odnosno druga vrsta pisanog odobrenja ili dokumentacije kojom se potvrđuje izvršenje usluge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izvještaja ili druge dokumentacije na uzorku 1% izvršenih usluga, a najviše 100</w:t>
            </w:r>
          </w:p>
        </w:tc>
      </w:tr>
      <w:tr w:rsidR="00DF792D" w:rsidRPr="00DF792D" w:rsidTr="0089668E">
        <w:trPr>
          <w:trHeight w:val="1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O izvedenim radovima postoji privremena odnosno konačna obračunska situacija, koju odobrava osoba odnosno tijelo koje nadzire i odobrava radove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 xml:space="preserve">preslike odnosno reference odobrenih privremenih odnosno konačnih situacija na uzorku 5% svih ugovora </w:t>
            </w:r>
          </w:p>
        </w:tc>
      </w:tr>
      <w:tr w:rsidR="00DF792D" w:rsidRPr="00DF792D" w:rsidTr="0089668E">
        <w:trPr>
          <w:trHeight w:val="8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Na zaprimljenim računima navedeni su svi elementi računa u skladu sa zakonskim i podzakonskim propisima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DF792D" w:rsidRPr="00DF792D" w:rsidTr="0089668E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Računi sadrže detaljnu specifikaciju roba/usluga/radova koje odgovaraju opisu i specifikaciji roba/usluga/radova definiranih narudžbenicom odnosno ugovorom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uzorak1% svih računa, a najviše 100</w:t>
            </w:r>
          </w:p>
        </w:tc>
      </w:tr>
      <w:tr w:rsidR="00DF792D" w:rsidRPr="00DF792D" w:rsidTr="0089668E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Za svaki račun obavljena je matematička kontrola ispravnosti iznosa koji je zaračunan što je naznačeno na računu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DF792D" w:rsidRPr="00DF792D" w:rsidTr="0089668E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Provjereno je postojanje potpisa, žiga ili druge oznake kojom se može potvrditi da je račun odobren za plaćanje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uzorak 1% svih računa, a najviše 100</w:t>
            </w:r>
          </w:p>
        </w:tc>
      </w:tr>
      <w:tr w:rsidR="00DF792D" w:rsidRPr="00DF792D" w:rsidTr="0089668E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Povjerenstva za popis osnovala je odgovorna osoba za zastupanje. Odredila je datum obavljanja popisa, rokove obavljanja popisa i dostavljanje izvještaja s priloženim popisnim listama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odluke o provođenju popisa</w:t>
            </w:r>
          </w:p>
        </w:tc>
      </w:tr>
      <w:tr w:rsidR="00DF792D" w:rsidRPr="00DF792D" w:rsidTr="0089668E">
        <w:trPr>
          <w:trHeight w:val="72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Povjerenstvo za popis obavilo je popis cjelokupne imovine i obveza, sastavilo izvještaj temeljem popisnih lista i predalo ga je odgovornoj osobi za zastupanje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izvještaja</w:t>
            </w:r>
          </w:p>
        </w:tc>
      </w:tr>
      <w:tr w:rsidR="00DF792D" w:rsidRPr="00DF792D" w:rsidTr="0089668E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 xml:space="preserve">Uspostavljena je evidencija svih ugovora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dijela evidencije</w:t>
            </w:r>
          </w:p>
        </w:tc>
      </w:tr>
      <w:tr w:rsidR="00DF792D" w:rsidRPr="00DF792D" w:rsidTr="0089668E">
        <w:trPr>
          <w:trHeight w:val="7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Vodi se analitička evidencija dugotrajne, nefinancijske imovine i usklađena je s glavnom knjigom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C0C0C0"/>
                <w:sz w:val="20"/>
                <w:szCs w:val="20"/>
              </w:rPr>
              <w:t>preslika odnosno referenca dijela evidencije</w:t>
            </w:r>
          </w:p>
        </w:tc>
      </w:tr>
    </w:tbl>
    <w:p w:rsidR="00DF792D" w:rsidRPr="00DF792D" w:rsidRDefault="00DF792D" w:rsidP="00DF792D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DF792D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 U ćelije označene sivom bojom nije dozvoljeno upisivati odgovore.</w:t>
      </w:r>
    </w:p>
    <w:p w:rsidR="00DF792D" w:rsidRPr="00DF792D" w:rsidRDefault="00DF792D" w:rsidP="00DF792D">
      <w:pPr>
        <w:spacing w:after="0"/>
        <w:rPr>
          <w:rFonts w:ascii="Calibri" w:eastAsia="Times New Roman" w:hAnsi="Calibri" w:cs="Times New Roman"/>
          <w:b/>
        </w:rPr>
        <w:sectPr w:rsidR="00DF792D" w:rsidRPr="00DF792D" w:rsidSect="00773BC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80" w:type="dxa"/>
        <w:tblInd w:w="93" w:type="dxa"/>
        <w:tblLook w:val="0000" w:firstRow="0" w:lastRow="0" w:firstColumn="0" w:lastColumn="0" w:noHBand="0" w:noVBand="0"/>
      </w:tblPr>
      <w:tblGrid>
        <w:gridCol w:w="900"/>
        <w:gridCol w:w="4960"/>
        <w:gridCol w:w="830"/>
        <w:gridCol w:w="727"/>
        <w:gridCol w:w="703"/>
        <w:gridCol w:w="6060"/>
      </w:tblGrid>
      <w:tr w:rsidR="00DF792D" w:rsidRPr="00DF792D" w:rsidTr="0089668E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Redni</w:t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broj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Pitanje 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Odgovor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Referenca</w:t>
            </w:r>
          </w:p>
        </w:tc>
      </w:tr>
      <w:tr w:rsidR="00DF792D" w:rsidRPr="00DF792D" w:rsidTr="0089668E">
        <w:trPr>
          <w:trHeight w:val="6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N/P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F792D" w:rsidRPr="00DF792D" w:rsidRDefault="00DF792D" w:rsidP="00DF79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  <w:r w:rsidRPr="00DF792D"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</w:rPr>
              <w:footnoteReference w:id="8"/>
            </w:r>
            <w:r w:rsidRPr="00DF79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F792D" w:rsidRPr="00DF792D" w:rsidTr="0089668E">
        <w:trPr>
          <w:trHeight w:val="556"/>
        </w:trPr>
        <w:tc>
          <w:tcPr>
            <w:tcW w:w="14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b/>
                <w:sz w:val="20"/>
                <w:szCs w:val="20"/>
              </w:rPr>
              <w:t>IZVJEŠTAVANJE</w:t>
            </w:r>
          </w:p>
        </w:tc>
      </w:tr>
      <w:tr w:rsidR="00DF792D" w:rsidRPr="00DF792D" w:rsidTr="0089668E">
        <w:trPr>
          <w:trHeight w:val="10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Kod predaje financijskih izvještaja poštivali su se rokovi i način predaje utvrđeni Zakonom o računovodstvu i na temelju njega donesenim propisima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92D" w:rsidRPr="00DF792D" w:rsidRDefault="00DF792D" w:rsidP="00DF792D">
            <w:pPr>
              <w:spacing w:after="0"/>
              <w:rPr>
                <w:rFonts w:ascii="Arial" w:eastAsia="Times New Roman" w:hAnsi="Arial" w:cs="Arial"/>
                <w:color w:val="969696"/>
                <w:sz w:val="20"/>
                <w:szCs w:val="20"/>
              </w:rPr>
            </w:pPr>
            <w:r w:rsidRPr="00DF792D">
              <w:rPr>
                <w:rFonts w:ascii="Arial" w:eastAsia="Times New Roman" w:hAnsi="Arial" w:cs="Arial"/>
                <w:color w:val="969696"/>
                <w:sz w:val="20"/>
                <w:szCs w:val="20"/>
              </w:rPr>
              <w:t xml:space="preserve">preslike odnosno reference referentnih stranica financijskih izvještaja </w:t>
            </w:r>
          </w:p>
        </w:tc>
      </w:tr>
    </w:tbl>
    <w:p w:rsidR="00DF792D" w:rsidRPr="00DF792D" w:rsidRDefault="00DF792D" w:rsidP="00DF792D">
      <w:pPr>
        <w:rPr>
          <w:rFonts w:ascii="Calibri" w:eastAsia="Times New Roman" w:hAnsi="Calibri" w:cs="Times New Roman"/>
          <w:b/>
        </w:rPr>
      </w:pP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DF792D">
        <w:rPr>
          <w:rFonts w:ascii="Arial" w:eastAsia="Times New Roman" w:hAnsi="Arial" w:cs="Arial"/>
          <w:b/>
          <w:bCs/>
          <w:sz w:val="20"/>
          <w:szCs w:val="20"/>
        </w:rPr>
        <w:t xml:space="preserve">Napomena: 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Sva pitanja u Upitniku moraju biti odgovorena upisivanjem oznake "X" u odgovarajući stupac.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pitanje nije primjenjivo na obveznika oznaka "X" stavlja se u stupac N/P.</w:t>
      </w:r>
    </w:p>
    <w:p w:rsidR="00DF792D" w:rsidRPr="00DF792D" w:rsidRDefault="00DF792D" w:rsidP="00DF792D">
      <w:pPr>
        <w:spacing w:after="0"/>
        <w:rPr>
          <w:rFonts w:ascii="Arial" w:eastAsia="Times New Roman" w:hAnsi="Arial" w:cs="Arial"/>
          <w:sz w:val="20"/>
          <w:szCs w:val="20"/>
        </w:rPr>
      </w:pPr>
      <w:r w:rsidRPr="00DF792D">
        <w:rPr>
          <w:rFonts w:ascii="Arial" w:eastAsia="Times New Roman" w:hAnsi="Arial" w:cs="Arial"/>
          <w:sz w:val="20"/>
          <w:szCs w:val="20"/>
        </w:rPr>
        <w:t>Ako se u različitim pitanjima traži isti dokaz, potrebno ga je priložiti samo jednom.</w:t>
      </w: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92D" w:rsidRPr="00DF792D" w:rsidRDefault="00DF792D" w:rsidP="00DF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E9F" w:rsidRDefault="00723E9F" w:rsidP="00DF792D"/>
    <w:sectPr w:rsidR="00723E9F" w:rsidSect="00DF7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2D" w:rsidRDefault="00DF792D" w:rsidP="00DF792D">
      <w:pPr>
        <w:spacing w:after="0" w:line="240" w:lineRule="auto"/>
      </w:pPr>
      <w:r>
        <w:separator/>
      </w:r>
    </w:p>
  </w:endnote>
  <w:endnote w:type="continuationSeparator" w:id="0">
    <w:p w:rsidR="00DF792D" w:rsidRDefault="00DF792D" w:rsidP="00DF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2D" w:rsidRDefault="00DF792D" w:rsidP="00D7370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F792D" w:rsidRDefault="00DF792D" w:rsidP="00D7370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2D" w:rsidRDefault="00DF792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5A7">
      <w:rPr>
        <w:noProof/>
      </w:rPr>
      <w:t>1</w:t>
    </w:r>
    <w:r>
      <w:rPr>
        <w:noProof/>
      </w:rPr>
      <w:fldChar w:fldCharType="end"/>
    </w:r>
  </w:p>
  <w:p w:rsidR="00DF792D" w:rsidRDefault="00DF792D" w:rsidP="00D7370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2D" w:rsidRDefault="00DF792D" w:rsidP="00DF792D">
      <w:pPr>
        <w:spacing w:after="0" w:line="240" w:lineRule="auto"/>
      </w:pPr>
      <w:r>
        <w:separator/>
      </w:r>
    </w:p>
  </w:footnote>
  <w:footnote w:type="continuationSeparator" w:id="0">
    <w:p w:rsidR="00DF792D" w:rsidRDefault="00DF792D" w:rsidP="00DF792D">
      <w:pPr>
        <w:spacing w:after="0" w:line="240" w:lineRule="auto"/>
      </w:pPr>
      <w:r>
        <w:continuationSeparator/>
      </w:r>
    </w:p>
  </w:footnote>
  <w:footnote w:id="1">
    <w:p w:rsidR="00DF792D" w:rsidRDefault="00DF792D" w:rsidP="00DF792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20917">
        <w:rPr>
          <w:rFonts w:ascii="Arial" w:hAnsi="Arial" w:cs="Arial"/>
          <w:lang w:val="hr-HR"/>
        </w:rPr>
        <w:t>Stupac Referenca se ne popunjava već su u njemu dane upute koja je vrsta dokaza podloga za davanje odgovora na pitanje</w:t>
      </w:r>
    </w:p>
  </w:footnote>
  <w:footnote w:id="2">
    <w:p w:rsidR="00DF792D" w:rsidRDefault="00DF792D" w:rsidP="00DF792D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3">
    <w:p w:rsidR="00DF792D" w:rsidRPr="00020917" w:rsidRDefault="00DF792D" w:rsidP="00DF792D">
      <w:pPr>
        <w:pStyle w:val="Tekstfusnote"/>
        <w:rPr>
          <w:lang w:val="hr-HR"/>
        </w:rPr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  <w:p w:rsidR="00DF792D" w:rsidRDefault="00DF792D" w:rsidP="00DF792D">
      <w:pPr>
        <w:pStyle w:val="Tekstfusnote"/>
      </w:pPr>
    </w:p>
  </w:footnote>
  <w:footnote w:id="4">
    <w:p w:rsidR="00DF792D" w:rsidRDefault="00DF792D" w:rsidP="00DF792D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5">
    <w:p w:rsidR="00DF792D" w:rsidRDefault="00DF792D" w:rsidP="00DF792D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</w:footnote>
  <w:footnote w:id="6">
    <w:p w:rsidR="00DF792D" w:rsidRDefault="00DF792D" w:rsidP="00DF792D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negativan odgovor evidentirati slabost, odnosno nepravilnost u Planu otklanjanja slabosti i nepravilnosti</w:t>
      </w:r>
    </w:p>
  </w:footnote>
  <w:footnote w:id="7">
    <w:p w:rsidR="00DF792D" w:rsidRDefault="00DF792D" w:rsidP="00DF792D">
      <w:pPr>
        <w:pStyle w:val="Tekstfusnote"/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svaki djelomično potvrdan odgovor evidentirati slabost, odnosno nepravilnost u Planu otklanjanja slabosti i nepravilnosti</w:t>
      </w:r>
    </w:p>
  </w:footnote>
  <w:footnote w:id="8">
    <w:p w:rsidR="00DF792D" w:rsidRPr="00020917" w:rsidRDefault="00DF792D" w:rsidP="00DF792D">
      <w:pPr>
        <w:pStyle w:val="Tekstfusnote"/>
        <w:rPr>
          <w:lang w:val="hr-HR"/>
        </w:rPr>
      </w:pPr>
      <w:r w:rsidRPr="00020917">
        <w:rPr>
          <w:rStyle w:val="Referencafusnote"/>
          <w:lang w:val="hr-HR"/>
        </w:rPr>
        <w:footnoteRef/>
      </w:r>
      <w:r w:rsidRPr="00020917">
        <w:rPr>
          <w:lang w:val="hr-HR"/>
        </w:rPr>
        <w:t xml:space="preserve"> </w:t>
      </w:r>
      <w:r w:rsidRPr="00020917">
        <w:rPr>
          <w:rFonts w:ascii="Arial" w:hAnsi="Arial" w:cs="Arial"/>
          <w:lang w:val="hr-HR"/>
        </w:rPr>
        <w:t>Za negativan odgovor evidentirati slabost, odnosno nepravilnost u Planu otklanjanja slabosti i nepravilnosti</w:t>
      </w:r>
    </w:p>
    <w:p w:rsidR="00DF792D" w:rsidRDefault="00DF792D" w:rsidP="00DF792D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EBB"/>
    <w:multiLevelType w:val="hybridMultilevel"/>
    <w:tmpl w:val="8F74FD66"/>
    <w:lvl w:ilvl="0" w:tplc="2B467A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C6CA9"/>
    <w:multiLevelType w:val="hybridMultilevel"/>
    <w:tmpl w:val="974EFCE4"/>
    <w:lvl w:ilvl="0" w:tplc="DAD019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3172FF"/>
    <w:multiLevelType w:val="hybridMultilevel"/>
    <w:tmpl w:val="590EEFC6"/>
    <w:lvl w:ilvl="0" w:tplc="9B269E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2D"/>
    <w:rsid w:val="002745A7"/>
    <w:rsid w:val="00414B69"/>
    <w:rsid w:val="00723E9F"/>
    <w:rsid w:val="00D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DF792D"/>
  </w:style>
  <w:style w:type="paragraph" w:customStyle="1" w:styleId="tb-na16">
    <w:name w:val="tb-na16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DF792D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DF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792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DF79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792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DF792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ko-K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92D"/>
    <w:rPr>
      <w:rFonts w:ascii="Tahoma" w:eastAsia="Times New Roman" w:hAnsi="Tahoma" w:cs="Times New Roman"/>
      <w:sz w:val="16"/>
      <w:szCs w:val="16"/>
      <w:lang w:eastAsia="ko-KR"/>
    </w:rPr>
  </w:style>
  <w:style w:type="character" w:styleId="Hiperveza">
    <w:name w:val="Hyperlink"/>
    <w:basedOn w:val="Zadanifontodlomka"/>
    <w:uiPriority w:val="99"/>
    <w:rsid w:val="00DF792D"/>
    <w:rPr>
      <w:rFonts w:cs="Times New Roman"/>
      <w:color w:val="0000FF"/>
      <w:u w:val="single"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DF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DF79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basedOn w:val="Zadanifontodlomka"/>
    <w:uiPriority w:val="99"/>
    <w:rsid w:val="00DF792D"/>
    <w:rPr>
      <w:rFonts w:cs="Times New Roman"/>
      <w:vertAlign w:val="superscript"/>
    </w:rPr>
  </w:style>
  <w:style w:type="paragraph" w:customStyle="1" w:styleId="t-9-8">
    <w:name w:val="t-9-8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uiPriority w:val="99"/>
    <w:rsid w:val="00DF79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79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PodnojeChar">
    <w:name w:val="Podnožje Char"/>
    <w:basedOn w:val="Zadanifontodlomka"/>
    <w:link w:val="Podnoje"/>
    <w:uiPriority w:val="99"/>
    <w:rsid w:val="00DF792D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Brojstranice">
    <w:name w:val="page number"/>
    <w:basedOn w:val="Zadanifontodlomka"/>
    <w:uiPriority w:val="99"/>
    <w:rsid w:val="00DF792D"/>
    <w:rPr>
      <w:rFonts w:cs="Times New Roman"/>
    </w:rPr>
  </w:style>
  <w:style w:type="paragraph" w:customStyle="1" w:styleId="t-9-8-potpis">
    <w:name w:val="t-9-8-potpis"/>
    <w:basedOn w:val="Normal"/>
    <w:uiPriority w:val="99"/>
    <w:rsid w:val="00DF792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uiPriority w:val="99"/>
    <w:rsid w:val="00DF792D"/>
    <w:rPr>
      <w:b/>
    </w:rPr>
  </w:style>
  <w:style w:type="paragraph" w:customStyle="1" w:styleId="Revision1">
    <w:name w:val="Revision1"/>
    <w:hidden/>
    <w:uiPriority w:val="99"/>
    <w:semiHidden/>
    <w:rsid w:val="00DF792D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rsid w:val="00DF79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ZaglavljeChar">
    <w:name w:val="Zaglavlje Char"/>
    <w:basedOn w:val="Zadanifontodlomka"/>
    <w:link w:val="Zaglavlje"/>
    <w:uiPriority w:val="99"/>
    <w:rsid w:val="00DF792D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Zadanifontodlomka"/>
    <w:uiPriority w:val="99"/>
    <w:rsid w:val="00DF79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DF792D"/>
  </w:style>
  <w:style w:type="paragraph" w:customStyle="1" w:styleId="tb-na16">
    <w:name w:val="tb-na16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DF792D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DF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792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DF79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792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DF792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ko-K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92D"/>
    <w:rPr>
      <w:rFonts w:ascii="Tahoma" w:eastAsia="Times New Roman" w:hAnsi="Tahoma" w:cs="Times New Roman"/>
      <w:sz w:val="16"/>
      <w:szCs w:val="16"/>
      <w:lang w:eastAsia="ko-KR"/>
    </w:rPr>
  </w:style>
  <w:style w:type="character" w:styleId="Hiperveza">
    <w:name w:val="Hyperlink"/>
    <w:basedOn w:val="Zadanifontodlomka"/>
    <w:uiPriority w:val="99"/>
    <w:rsid w:val="00DF792D"/>
    <w:rPr>
      <w:rFonts w:cs="Times New Roman"/>
      <w:color w:val="0000FF"/>
      <w:u w:val="single"/>
    </w:rPr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DF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DF79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basedOn w:val="Zadanifontodlomka"/>
    <w:uiPriority w:val="99"/>
    <w:rsid w:val="00DF792D"/>
    <w:rPr>
      <w:rFonts w:cs="Times New Roman"/>
      <w:vertAlign w:val="superscript"/>
    </w:rPr>
  </w:style>
  <w:style w:type="paragraph" w:customStyle="1" w:styleId="t-9-8">
    <w:name w:val="t-9-8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uiPriority w:val="99"/>
    <w:rsid w:val="00DF79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79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PodnojeChar">
    <w:name w:val="Podnožje Char"/>
    <w:basedOn w:val="Zadanifontodlomka"/>
    <w:link w:val="Podnoje"/>
    <w:uiPriority w:val="99"/>
    <w:rsid w:val="00DF792D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Brojstranice">
    <w:name w:val="page number"/>
    <w:basedOn w:val="Zadanifontodlomka"/>
    <w:uiPriority w:val="99"/>
    <w:rsid w:val="00DF792D"/>
    <w:rPr>
      <w:rFonts w:cs="Times New Roman"/>
    </w:rPr>
  </w:style>
  <w:style w:type="paragraph" w:customStyle="1" w:styleId="t-9-8-potpis">
    <w:name w:val="t-9-8-potpis"/>
    <w:basedOn w:val="Normal"/>
    <w:uiPriority w:val="99"/>
    <w:rsid w:val="00DF792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uiPriority w:val="99"/>
    <w:rsid w:val="00DF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uiPriority w:val="99"/>
    <w:rsid w:val="00DF792D"/>
    <w:rPr>
      <w:b/>
    </w:rPr>
  </w:style>
  <w:style w:type="paragraph" w:customStyle="1" w:styleId="Revision1">
    <w:name w:val="Revision1"/>
    <w:hidden/>
    <w:uiPriority w:val="99"/>
    <w:semiHidden/>
    <w:rsid w:val="00DF792D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rsid w:val="00DF79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ZaglavljeChar">
    <w:name w:val="Zaglavlje Char"/>
    <w:basedOn w:val="Zadanifontodlomka"/>
    <w:link w:val="Zaglavlje"/>
    <w:uiPriority w:val="99"/>
    <w:rsid w:val="00DF792D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Zadanifontodlomka"/>
    <w:uiPriority w:val="99"/>
    <w:rsid w:val="00DF79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092-BF4A-4711-BAC3-1537656D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8841</Characters>
  <Application>Microsoft Office Word</Application>
  <DocSecurity>4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mfkor</cp:lastModifiedBy>
  <cp:revision>2</cp:revision>
  <dcterms:created xsi:type="dcterms:W3CDTF">2015-11-05T11:21:00Z</dcterms:created>
  <dcterms:modified xsi:type="dcterms:W3CDTF">2015-11-05T11:21:00Z</dcterms:modified>
</cp:coreProperties>
</file>