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DF" w:rsidRPr="005F3DDF" w:rsidRDefault="005F3DDF" w:rsidP="005F3DDF">
      <w:pPr>
        <w:ind w:hanging="709"/>
        <w:jc w:val="right"/>
        <w:rPr>
          <w:rFonts w:ascii="Times New Roman" w:eastAsia="Times New Roman" w:hAnsi="Times New Roman"/>
          <w:b/>
          <w:kern w:val="32"/>
          <w:sz w:val="24"/>
          <w:szCs w:val="24"/>
        </w:rPr>
      </w:pPr>
      <w:r w:rsidRPr="005F3DDF">
        <w:rPr>
          <w:rFonts w:ascii="Times New Roman" w:eastAsia="Times New Roman" w:hAnsi="Times New Roman"/>
          <w:b/>
          <w:sz w:val="24"/>
          <w:szCs w:val="24"/>
        </w:rPr>
        <w:t>PRILOG 2.a</w:t>
      </w:r>
    </w:p>
    <w:p w:rsidR="005F3DDF" w:rsidRPr="005F3DDF" w:rsidRDefault="005F3DDF" w:rsidP="005F3DDF">
      <w:pPr>
        <w:ind w:hanging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3DDF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Obveznik ___________________________________ </w:t>
      </w:r>
    </w:p>
    <w:p w:rsidR="005F3DDF" w:rsidRPr="005F3DDF" w:rsidRDefault="005F3DDF" w:rsidP="005F3DDF">
      <w:pPr>
        <w:jc w:val="center"/>
        <w:rPr>
          <w:rFonts w:eastAsia="Times New Roman"/>
          <w:b/>
        </w:rPr>
      </w:pPr>
      <w:r w:rsidRPr="005F3DDF">
        <w:rPr>
          <w:rFonts w:ascii="Times New Roman" w:eastAsia="Times New Roman" w:hAnsi="Times New Roman"/>
          <w:b/>
          <w:sz w:val="24"/>
          <w:szCs w:val="24"/>
        </w:rPr>
        <w:t xml:space="preserve">UPITNIK O FISKALNOJ ODGOVORNOSTI ZA OBVEZNIKE UTVRĐENE U </w:t>
      </w:r>
      <w:r w:rsidRPr="005F3DDF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REGISTRU PRORAČUNSKIH I IZVANPRORAČUNSKIH KORISNIKA</w:t>
      </w:r>
      <w:r w:rsidRPr="005F3DDF">
        <w:rPr>
          <w:rFonts w:ascii="Times New Roman" w:eastAsia="Times New Roman" w:hAnsi="Times New Roman"/>
          <w:b/>
          <w:sz w:val="24"/>
          <w:szCs w:val="24"/>
        </w:rPr>
        <w:t xml:space="preserve"> ZA PRORAČUNSKU GODINU _______</w:t>
      </w: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5987"/>
        <w:gridCol w:w="830"/>
        <w:gridCol w:w="727"/>
        <w:gridCol w:w="703"/>
        <w:gridCol w:w="5582"/>
      </w:tblGrid>
      <w:tr w:rsidR="005F3DDF" w:rsidRPr="005F3DDF" w:rsidTr="00604C26">
        <w:trPr>
          <w:trHeight w:val="255"/>
        </w:trPr>
        <w:tc>
          <w:tcPr>
            <w:tcW w:w="772" w:type="dxa"/>
            <w:vMerge w:val="restart"/>
            <w:shd w:val="clear" w:color="auto" w:fill="C0C0C0"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5987" w:type="dxa"/>
            <w:vMerge w:val="restart"/>
            <w:shd w:val="clear" w:color="auto" w:fill="C0C0C0"/>
            <w:noWrap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2260" w:type="dxa"/>
            <w:gridSpan w:val="3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5582" w:type="dxa"/>
            <w:vMerge w:val="restart"/>
            <w:shd w:val="clear" w:color="auto" w:fill="C0C0C0"/>
            <w:vAlign w:val="bottom"/>
          </w:tcPr>
          <w:p w:rsidR="005F3DDF" w:rsidRPr="005F3DDF" w:rsidRDefault="005F3DDF" w:rsidP="00604C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  <w:r w:rsidR="00604C26">
              <w:rPr>
                <w:rStyle w:val="Referencafusnote"/>
                <w:rFonts w:ascii="Arial" w:eastAsia="Times New Roman" w:hAnsi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F3DDF" w:rsidRPr="005F3DDF" w:rsidTr="00604C26">
        <w:trPr>
          <w:trHeight w:val="615"/>
        </w:trPr>
        <w:tc>
          <w:tcPr>
            <w:tcW w:w="772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7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727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3" w:type="dxa"/>
            <w:shd w:val="clear" w:color="auto" w:fill="C0C0C0"/>
            <w:noWrap/>
            <w:vAlign w:val="bottom"/>
          </w:tcPr>
          <w:p w:rsidR="005F3DDF" w:rsidRPr="005F3DDF" w:rsidRDefault="005F3DDF" w:rsidP="00604C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="00604C26">
              <w:rPr>
                <w:rStyle w:val="Referencafusnote"/>
                <w:rFonts w:ascii="Arial" w:eastAsia="Times New Roman" w:hAnsi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582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584"/>
        </w:trPr>
        <w:tc>
          <w:tcPr>
            <w:tcW w:w="14601" w:type="dxa"/>
            <w:gridSpan w:val="6"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sz w:val="20"/>
                <w:szCs w:val="20"/>
              </w:rPr>
              <w:t>PLANIRANJE PRORAČUNA/FINANCIJSKOG PLANA</w:t>
            </w:r>
          </w:p>
        </w:tc>
      </w:tr>
      <w:tr w:rsidR="005F3DDF" w:rsidRPr="005F3DDF" w:rsidTr="00604C26">
        <w:trPr>
          <w:trHeight w:val="948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Strateški plan je sastavljen i objavljen na web stranicama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druga tijela državne uprave na razini razdjela organizacijske klasifikacije)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link na web stranicu</w:t>
            </w:r>
          </w:p>
        </w:tc>
      </w:tr>
      <w:tr w:rsidR="005F3DDF" w:rsidRPr="005F3DDF" w:rsidTr="00604C26">
        <w:trPr>
          <w:trHeight w:val="848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Programi iz financijskog plana povezani su s ciljevima iz strateškog plana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(odgovaraju ministarstva i druga tijela državne uprave na razini razdjela organizacijske klasifikacije) 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vezne tablice </w:t>
            </w:r>
          </w:p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ovo pitanje nije primjenjivo za godinu u kojoj se donosi odluka o privremenom financiranju poslova, funkcija i programa državnih tijela i drugih proračunskih korisnika za prva tri mjeseca naredne godine</w:t>
            </w:r>
          </w:p>
        </w:tc>
      </w:tr>
      <w:tr w:rsidR="005F3DDF" w:rsidRPr="005F3DDF" w:rsidTr="00604C26">
        <w:trPr>
          <w:trHeight w:val="848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Za ciljeve iz strateškog plana utvrđeni su i procijenjeni rizici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druga tijela državne uprave na razini razdjela organizacijske klasifikacije)</w:t>
            </w: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tablica rizika</w:t>
            </w:r>
          </w:p>
        </w:tc>
      </w:tr>
      <w:tr w:rsidR="005F3DDF" w:rsidRPr="005F3DDF" w:rsidTr="00604C26">
        <w:trPr>
          <w:trHeight w:val="2394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before="96" w:after="96" w:line="288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Upravno tijelo nadležno za financije jedinice lokalne i područne (regionalne) samouprave nakon primitka uputa za izradu proračuna jedinice lokalne i područne (regionalne) samouprave od Ministarstva financija izradilo je i dostavilo proračunskim i izvanproračunskim korisnicima jedinice lokalne i područne (regionalne) samouprave upute za izradu proračuna jedinice lokalne i područne (regionalne) samouprave s limitima odnosno s visinama financijskog plana po proračunskim korisnicima za sljedeću proračunsku godinu i za sljedeće dvije godine, koje su raspoređene na:</w:t>
            </w:r>
          </w:p>
          <w:p w:rsidR="005F3DDF" w:rsidRPr="005F3DDF" w:rsidRDefault="005F3DDF" w:rsidP="005F3DDF">
            <w:pPr>
              <w:spacing w:before="96" w:after="96" w:line="288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- visinu sredstava potrebnih za provedbu postojećih programa, odnosno aktivnosti, koje proizlaze iz trenutno važećih propisa i 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- visinu sredstava potrebnih za uvođenje i provedbu novih ili promjenu postojećih programa, odnosno aktivnosti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jedinice lokalne i područne (regionalne) samouprave koje u svojoj nadležnosti imaju proračunske i izvanproračunske korisnike)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 i upute</w:t>
            </w:r>
          </w:p>
        </w:tc>
      </w:tr>
      <w:tr w:rsidR="005F3DDF" w:rsidRPr="005F3DDF" w:rsidTr="00604C26">
        <w:trPr>
          <w:trHeight w:val="552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Ministarstvo je nakon primitka uputa za izradu prijedloga državnog proračuna od Ministarstva financija izradilo i dostavilo proračunskim korisnicima iz svoje nadležnosti upute s limitima, odnosno s visinama financijskog plana po proračunskim korisnicima za sljedeću proračunsku godinu i za sljedeće dvije godine, koje su raspoređene na: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- visinu sredstava potrebnih za provedbu postojećih programa, odnosno aktivnosti, koje proizlaze iz trenutno važećih propisa i 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- visinu sredstava potrebnih za uvođenje i provedbu novih ili promjenu postojećih programa, odnosno aktivnosti,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a u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 </w:t>
            </w: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razdoblju privremenog financiranja, ministarstvo je, nakon primitka uputa za izradu financijskih planova proračunskih i izvanproračunskih korisnika državnog proračuna za prva tri mjeseca proračunske godine od Ministarstva financija, izradilo i dostavilo upute s limitima plana za prva tri mjeseca proračunske </w:t>
            </w: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godine korisnicima iz svoje nadležnosti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koja u svojoj nadležnosti imaju proračunske korisnike)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 i upute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2133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Financijski plan proračunskog korisnika državnog proračuna sadrži prihode i primitke iskazane po vrstama, rashode i izdatke predviđene za trogodišnje razdoblje, razvrstane prema proračunskim klasifikacijama i obrazloženje prijedloga financijskog plana, a u razdoblju privremenog financiranja, sadrži procjenu prihoda i primitaka iskazanih po vrstama, rashoda i izdataka predviđenih za prva tri mjeseca proračunske godine, razvrstanih prema proračunskim klasifikacijama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financijskog plana usvojenog do 31. prosinca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 </w:t>
            </w:r>
          </w:p>
        </w:tc>
      </w:tr>
      <w:tr w:rsidR="005F3DDF" w:rsidRPr="005F3DDF" w:rsidTr="00604C26">
        <w:trPr>
          <w:trHeight w:val="1369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Financijski plan proračunskog korisnika jedinice lokalne i područne (regionalne) samouprave sadrži prihode i primitke iskazane po vrstama, rashode i izdatke predviđene za trogodišnje razdoblje, razvrstane prema proračunskim klasifikacijama te obrazloženje prijedloga financijskog plana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financijskog plana usvojenog do 31. prosinca</w:t>
            </w:r>
          </w:p>
        </w:tc>
      </w:tr>
      <w:tr w:rsidR="005F3DDF" w:rsidRPr="005F3DDF" w:rsidTr="00604C26">
        <w:trPr>
          <w:trHeight w:val="2962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Obrazloženje financijskog plana proračunskog korisnika državnog proračuna i proračunskog korisnika jedinice lokalne i područne (regionalne) samouprave sadrži sažetak djelokruga rada proračunskog korisnika, obrazložene programe, zakonske i druge podloge na kojima se zasnivaju programi, usklađene ciljeve, strategiju i programe s dokumentima dugoročnog razvoja, ishodište i pokazatelje na kojima se zasnivaju izračuni i ocjene potrebnih sredstava za provođenje programa, izvještaj o postignutim ciljevima i rezultatima programa temeljenim na pokazateljima uspješnosti iz nadležnosti proračunskog korisnika u prethodnoj godini te ostala obrazloženja i dokumentaciju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obrazloženja financijskog plana usvojenog do 31. prosinca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pitanje nije primjenjivo za proračunske korisnike državnog proračuna za godinu u kojoj se donosi odluka o privremenom financiranju poslova, funkcija i programa državnih tijela i drugih proračunskih korisnika za prva tri mjeseca naredne godine</w:t>
            </w:r>
          </w:p>
        </w:tc>
      </w:tr>
      <w:tr w:rsidR="005F3DDF" w:rsidRPr="005F3DDF" w:rsidTr="00604C26">
        <w:trPr>
          <w:trHeight w:val="693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Financijski plan izvanproračunskog korisnika državnog proračuna i jedinice lokalne i područne (regionalne) samouprave sadrži prihode i primitke iskazane po vrstama, rashode i izdatke predviđene za trogodišnje razdoblje, razvrstane prema proračunskim klasifikacijama i obrazloženje prijedloga financijskog plana, a u razdoblju privremenog financiranja, financijski plan izvanproračunskog korisnika državnog proračuna </w:t>
            </w: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sadrži procjenu prihoda i primitaka iskazanih po vrstama, rashoda i izdataka predviđenih za prva tri mjeseca proračunske godine, razvrstanih prema proračunskim klasifikacijama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financijskog plana usvojenog do 31. prosinca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1030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Usklađeni prijedlog financijskog plana ministarstva sastavljen je temeljem prikupljenih i objedinjenih prijedloga financijskih planova proračunskih korisnika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koja u svojoj nadležnosti imaju proračunske korisnike)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provesti analizu na način da se zbroje prihodi i rashodi iz financijskih planova proračunskih korisnika te prihodi i rashodi iz financijskog plana nadležnog ministarstva bez proračunskih korisnika te usporede s podacima u usklađenom financijskom planu </w:t>
            </w:r>
          </w:p>
        </w:tc>
      </w:tr>
      <w:tr w:rsidR="005F3DDF" w:rsidRPr="005F3DDF" w:rsidTr="00604C26">
        <w:trPr>
          <w:trHeight w:val="1067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Godišnji plan rada je sastavljen u skladu sa strateškim i financijskim planom i objavljen na web stranicama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druga tijela državne uprave na razini razdjela organizacijske klasifikacije)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link na web stranicu</w:t>
            </w:r>
          </w:p>
        </w:tc>
      </w:tr>
      <w:tr w:rsidR="005F3DDF" w:rsidRPr="005F3DDF" w:rsidTr="00604C26">
        <w:trPr>
          <w:trHeight w:val="786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Uz opći i posebni dio proračuna jedinice lokalne i područne (regionalne) samouprave, predstavničkom tijelu na usvajanje upućen je i plan razvojnih programa koji sadrži ciljeve te prioritete razvoja jedinice lokalne i područne (regionalne) samouprave povezane s programskom i organizacijskom klasifikacijom proračuna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plana razvojnih programa</w:t>
            </w:r>
          </w:p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524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Čelnik jedinice lokalne i područne (regionalne) samouprave uputio je prijedlog proračuna i projekcija predstavničkom tijelu na donošenje u zakonom predviđenom roku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preslika odnosno referenca dopisa odnosno drugi dokaz da je prijedlog proračuna i projekcija predan predstavničkom tijelu </w:t>
            </w:r>
          </w:p>
        </w:tc>
      </w:tr>
      <w:tr w:rsidR="005F3DDF" w:rsidRPr="005F3DDF" w:rsidTr="00604C26">
        <w:trPr>
          <w:trHeight w:val="510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Doneseni proračun objavljen je u službenom glasilu jedinice lokalne i područne (regionalne) samouprave 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broj i naziv službenog glasila i datum objave </w:t>
            </w:r>
          </w:p>
        </w:tc>
      </w:tr>
      <w:tr w:rsidR="005F3DDF" w:rsidRPr="005F3DDF" w:rsidTr="00604C26">
        <w:trPr>
          <w:trHeight w:val="1275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Uz proračun jedinice lokalne i područne (regionalne) samouprave odnosno financijski plan proračunskog i izvanproračunskog korisnika za iduću proračunsku godinu, donijele su se i projekcije za sljedeće dvije proračunske godine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broj i naziv službenog glasila i datum objave za proračune</w:t>
            </w:r>
          </w:p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financijskog plana usvojenog do 31. prosinca za proračunske i izvanproračunske korisnike</w:t>
            </w: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pitanje nije primjenjivo za proračunske i izvanproračunske korisnike državnog proračuna za godinu u kojoj se donosi odluka o privremenom financiranju poslova, funkcija i programa državnih tijela i drugih proračunskih korisnika za prva tri mjeseca naredne godine</w:t>
            </w:r>
          </w:p>
        </w:tc>
      </w:tr>
      <w:tr w:rsidR="005F3DDF" w:rsidRPr="005F3DDF" w:rsidTr="00604C26">
        <w:trPr>
          <w:trHeight w:val="1275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Čelnik je u roku 30 dana od stupanja na snagu državnog proračuna donio odluku o prijenosu ovlasti i odgovornosti za provedbu strateškog plana i upravljanje proračunskim sredstvima osiguranim u financijskom planu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druga tijela državne uprave na razini razdjela organizacijske klasifikacije)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odluke</w:t>
            </w:r>
          </w:p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734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Proračun te izmjene i dopune i odluka o izvršavanju dostavljeni su Ministarstvu financija u roku od 15 dana od dana njihova stupanja na snagu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</w:t>
            </w:r>
          </w:p>
        </w:tc>
      </w:tr>
      <w:tr w:rsidR="005F3DDF" w:rsidRPr="005F3DDF" w:rsidTr="00604C26">
        <w:trPr>
          <w:trHeight w:val="1275"/>
        </w:trPr>
        <w:tc>
          <w:tcPr>
            <w:tcW w:w="772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5987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Jedinica lokalne i područne (regionalne) samouprave se zaduživala/ davala suglasnost za zaduživanje/jamstvo sukladno odredbama Zakona o proračunu i Pravilnika o postupku zaduživanja te davanja jamstava i suglasnosti jedinica lokalne i područne (regionalne) samouprave 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82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dobivenih i danih suglasnosti</w:t>
            </w:r>
          </w:p>
        </w:tc>
      </w:tr>
    </w:tbl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F3DDF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</w:t>
      </w:r>
    </w:p>
    <w:p w:rsidR="005F3DDF" w:rsidRPr="005F3DDF" w:rsidRDefault="005F3DDF" w:rsidP="005F3DDF">
      <w:pPr>
        <w:spacing w:after="0"/>
        <w:rPr>
          <w:rFonts w:eastAsia="Times New Roman"/>
          <w:b/>
        </w:rPr>
        <w:sectPr w:rsidR="005F3DDF" w:rsidRPr="005F3DDF" w:rsidSect="005F3DDF">
          <w:footerReference w:type="even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27"/>
        <w:gridCol w:w="5440"/>
        <w:gridCol w:w="546"/>
        <w:gridCol w:w="109"/>
        <w:gridCol w:w="567"/>
        <w:gridCol w:w="709"/>
        <w:gridCol w:w="1701"/>
        <w:gridCol w:w="4536"/>
      </w:tblGrid>
      <w:tr w:rsidR="005F3DDF" w:rsidRPr="005F3DDF" w:rsidTr="00604C26">
        <w:trPr>
          <w:trHeight w:val="255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5467" w:type="dxa"/>
            <w:gridSpan w:val="2"/>
            <w:vMerge w:val="restart"/>
            <w:shd w:val="clear" w:color="auto" w:fill="C0C0C0"/>
            <w:noWrap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3632" w:type="dxa"/>
            <w:gridSpan w:val="5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4536" w:type="dxa"/>
            <w:vMerge w:val="restart"/>
            <w:shd w:val="clear" w:color="auto" w:fill="C0C0C0"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5F3DDF" w:rsidRPr="005F3DDF" w:rsidTr="00604C26">
        <w:trPr>
          <w:trHeight w:val="374"/>
        </w:trPr>
        <w:tc>
          <w:tcPr>
            <w:tcW w:w="824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7" w:type="dxa"/>
            <w:gridSpan w:val="2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67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9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DJELOMIČNO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536" w:type="dxa"/>
            <w:vMerge/>
            <w:shd w:val="clear" w:color="auto" w:fill="C0C0C0"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431"/>
        </w:trPr>
        <w:tc>
          <w:tcPr>
            <w:tcW w:w="14459" w:type="dxa"/>
            <w:gridSpan w:val="9"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sz w:val="20"/>
                <w:szCs w:val="20"/>
              </w:rPr>
              <w:t>IZVRŠAVANJE PRORAČUNA/FINACIJSKOG PLANA</w:t>
            </w:r>
          </w:p>
        </w:tc>
      </w:tr>
      <w:tr w:rsidR="005F3DDF" w:rsidRPr="005F3DDF" w:rsidTr="00604C26">
        <w:trPr>
          <w:trHeight w:val="454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Procedura stvaranja ugovornih obveza jasno je definirana i dostupna svim ustrojstvenim jedinicama/upravnim odjelima</w:t>
            </w:r>
          </w:p>
        </w:tc>
        <w:tc>
          <w:tcPr>
            <w:tcW w:w="546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pisane procedure</w:t>
            </w:r>
          </w:p>
        </w:tc>
      </w:tr>
      <w:tr w:rsidR="005F3DDF" w:rsidRPr="005F3DDF" w:rsidTr="00604C26">
        <w:trPr>
          <w:trHeight w:val="1892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Obveze po ugovorima koji zahtijevaju plaćanje iz proračuna u sljedećim godinama preuzimale su se isključivo uz suglasnost ministra financija/Vlade Republike Hrvatske odnosno općinskog načelnika /gradonačelnika /župana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proračunski korisnici državnog proračuna i proračunski korisnici proračuna jedinica lokalne i područne (regionalne) samouprave)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dobivenih suglasnosti na uzorku od najviše 20</w:t>
            </w:r>
          </w:p>
        </w:tc>
      </w:tr>
      <w:tr w:rsidR="005F3DDF" w:rsidRPr="005F3DDF" w:rsidTr="00604C26">
        <w:trPr>
          <w:trHeight w:val="1267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Obveze po investicijskim projektima preuzimaju se isključivo ako su predviđene u proračunu i projekcijama, financijskom planu i po provedenom stručnom vrednovanju i ocjeni opravdanosti te učinkovitosti investicijskog projekta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na uzorku od najviše 10 investicijskih projekata dokazati povezanost s proračunom i projekcijama, odnosno s financijskim planom i priložiti preslike odnosno reference  provedenih vrednovanja</w:t>
            </w:r>
          </w:p>
        </w:tc>
      </w:tr>
      <w:tr w:rsidR="005F3DDF" w:rsidRPr="005F3DDF" w:rsidTr="00604C26">
        <w:trPr>
          <w:trHeight w:val="850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Preraspodjele su izvršene u skladu s odredbama Zakona o proračunu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jedinice lokalne i područne (regionalne) samouprave)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preslika odnosno referenca dopisa s odobrenom preraspodjelom </w:t>
            </w:r>
          </w:p>
        </w:tc>
      </w:tr>
      <w:tr w:rsidR="005F3DDF" w:rsidRPr="005F3DDF" w:rsidTr="00604C26">
        <w:trPr>
          <w:trHeight w:val="850"/>
        </w:trPr>
        <w:tc>
          <w:tcPr>
            <w:tcW w:w="824" w:type="dxa"/>
            <w:noWrap/>
            <w:vAlign w:val="center"/>
          </w:tcPr>
          <w:p w:rsidR="005F3DDF" w:rsidRPr="005F3DDF" w:rsidDel="00F50FCB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Postoji jasna procedura naplate prihoda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pisane procedure iz koje su vidljive vrste prihoda koje se naplaćuju,  mjere naplate koje će poduzimati, vremensko razdoblje nakon kojeg se pokreće pojedina mjera naplate, slučajeve u kojima treba pribaviti instrumente osiguranja plaćanja, praćenje naplate po poduzetim mjerama, osobe koje će obavljati navedene poslove i slično</w:t>
            </w:r>
          </w:p>
        </w:tc>
      </w:tr>
      <w:tr w:rsidR="005F3DDF" w:rsidRPr="005F3DDF" w:rsidTr="00604C26">
        <w:trPr>
          <w:trHeight w:val="1346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Poduzete su sve potrebne mjere za potpunu naplatu prihoda i primitaka iz nadležnosti i uplatu u proračun prema važećim propisima 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na uzorku od 10% dospjelih nenaplaćenih potraživanja sa stanjem 31. prosinca dokazi o poduzetim radnjama za naplatu (preslike odnosno reference odgovarajućih dopisa, opomena), a najviše 100</w:t>
            </w:r>
          </w:p>
        </w:tc>
      </w:tr>
      <w:tr w:rsidR="005F3DDF" w:rsidRPr="005F3DDF" w:rsidTr="00604C26">
        <w:trPr>
          <w:trHeight w:val="2070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Svi namjenski prihodi i primici te vlastiti prihodi proračunskih korisnika uplaćivali su se u nadležni proračun jedinice lokalne i područne (regionalne) samouprave osim onih koji su izuzeti od obveze uplate temeljem odluke o izvršavanju proračuna jedinice lokalne i područne (regionalne) samouprave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jedinice lokalne i područne (regionalne) samouprave koje u svojoj nadležnosti imaju proračunske korisnike)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dokaz o uplati namjenskih prihoda i primitaka te vlastitih prihoda u nadležni proračun i preslika odnosno referenca odluke </w:t>
            </w:r>
          </w:p>
        </w:tc>
      </w:tr>
      <w:tr w:rsidR="005F3DDF" w:rsidRPr="005F3DDF" w:rsidTr="00604C26">
        <w:trPr>
          <w:trHeight w:val="1110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Ministarstvo odnosno jedinica lokalne i područne (regionalne) samouprave pratila je korištenje namjenskih prihoda i primitaka te vlastitih prihoda koje ostvaruju proračunski korisnici iz svoje nadležnosti koji su izuzeti od uplate u proračun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dokaz o načinu praćenja</w:t>
            </w:r>
          </w:p>
        </w:tc>
      </w:tr>
      <w:tr w:rsidR="005F3DDF" w:rsidRPr="005F3DDF" w:rsidTr="00604C26">
        <w:trPr>
          <w:trHeight w:val="268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Sredstva su utrošena u skladu s proračunom odnosno financijskim planom</w:t>
            </w:r>
          </w:p>
        </w:tc>
        <w:tc>
          <w:tcPr>
            <w:tcW w:w="546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izvještaj o izvršenju proračuna za jedinice lokalne i područne (regionalne) samouprave iz kojeg se vidi da nije utrošeno više sredstva od odobrenih proračunom (osim za vlastite i namjenske prihode i primitke u skladu sa Zakonom o proračunu)</w:t>
            </w:r>
          </w:p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</w:p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usporedba izvršenja i financijskog plana iz koje se vidi da nije utrošeno više sredstva od odobrenih financijskim planom (osim za vlastite i namjenske prihode i primitke u skladu sa Zakonom o proračunu) za proračunske i izvanproračunske korisnike</w:t>
            </w:r>
          </w:p>
        </w:tc>
      </w:tr>
      <w:tr w:rsidR="005F3DDF" w:rsidRPr="005F3DDF" w:rsidTr="00604C26">
        <w:trPr>
          <w:trHeight w:val="1008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Isplata sredstava temeljila se na vjerodostojnoj dokumentaciji </w:t>
            </w:r>
          </w:p>
        </w:tc>
        <w:tc>
          <w:tcPr>
            <w:tcW w:w="546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nasumično odabrano najmanje pet isplata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br/>
              <w:t xml:space="preserve"> po svakoj od vrsta rashoda na razini definiranoj u Tablici: Testiranja uz pitanje 24. danoj u dodatku 1 Upitnika</w:t>
            </w:r>
          </w:p>
        </w:tc>
      </w:tr>
      <w:tr w:rsidR="005F3DDF" w:rsidRPr="005F3DDF" w:rsidTr="00604C26">
        <w:trPr>
          <w:trHeight w:val="779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Pratilo se i kontroliralo namjensko isplaćivanje donacija, pomoći, subvencija do krajnjeg korisnika te korištenje istih </w:t>
            </w:r>
          </w:p>
        </w:tc>
        <w:tc>
          <w:tcPr>
            <w:tcW w:w="546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uzorak od </w:t>
            </w:r>
            <w:r w:rsidR="00604C26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5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% ukupnog bro</w:t>
            </w:r>
            <w:r w:rsidR="00604C26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ja svih transfera i minimalno 5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% ukupne vrijednosti svih transfera, a najviše 100 </w:t>
            </w:r>
          </w:p>
        </w:tc>
      </w:tr>
      <w:tr w:rsidR="005F3DDF" w:rsidRPr="005F3DDF" w:rsidTr="00604C26">
        <w:trPr>
          <w:trHeight w:val="369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29.1.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Dostupne su preslike odnosno reference ugovora koji su podloga za isplate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ugovora</w:t>
            </w:r>
          </w:p>
        </w:tc>
      </w:tr>
      <w:tr w:rsidR="005F3DDF" w:rsidRPr="005F3DDF" w:rsidTr="00604C26">
        <w:trPr>
          <w:trHeight w:val="626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29.2.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Obavljene su provjere na licu mjesta na odabranom uzorku od onih krajnjih korisnika kojima su na godišnjoj razini izvršene isplate iznad 20.000,00 kuna 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preslika odnosno referenca zapisnika izvršene kontrole određenog broja krajnjih korisnika (uzorak) koji su na godišnjoj ostvarili iznad 20.000,00 kuna od proračuna, proračunskih i izvanproračunskih korisnika </w:t>
            </w:r>
          </w:p>
        </w:tc>
      </w:tr>
      <w:tr w:rsidR="005F3DDF" w:rsidRPr="005F3DDF" w:rsidTr="00604C26">
        <w:trPr>
          <w:trHeight w:val="344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29.3.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Postoji izvješće od krajnjeg korisnika o utrošku sredstava/realizaciji projekta  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izviješća</w:t>
            </w:r>
          </w:p>
        </w:tc>
      </w:tr>
      <w:tr w:rsidR="005F3DDF" w:rsidRPr="005F3DDF" w:rsidTr="00604C26">
        <w:trPr>
          <w:trHeight w:val="1118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Prilikom isporuke opreme/izvođenja radova obavljene su sve potrebne provjere </w:t>
            </w:r>
          </w:p>
        </w:tc>
        <w:tc>
          <w:tcPr>
            <w:tcW w:w="546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provjera na uzorku 5% ukupnog broja svih nabava dugotrajne nefinancijske imovine i minimalno 5% ukupne vrijednosti svih nabava dugotrajne nefinancijske imovine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30.1.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na način utvrđen ugovorom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30.2.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u skladu s vremenskim rokovima iz ugovora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558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30.3.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u skladu sa zahtjevima količine i kvalitete iz ugovora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30.4.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na lokacijama koje su navedene u ugovoru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30.5.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prema opisu iz ugovora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30.6.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sukladno nacrtima, analizama, modelima, uzorcima iz ugovora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268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30.7. 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Oprema je instalirana i u upotrebi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5F3DDF" w:rsidRPr="005F3DDF" w:rsidTr="00604C26">
        <w:trPr>
          <w:trHeight w:val="870"/>
        </w:trPr>
        <w:tc>
          <w:tcPr>
            <w:tcW w:w="851" w:type="dxa"/>
            <w:gridSpan w:val="2"/>
            <w:noWrap/>
            <w:vAlign w:val="center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31.</w:t>
            </w:r>
          </w:p>
        </w:tc>
        <w:tc>
          <w:tcPr>
            <w:tcW w:w="5440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Propisana je procedura zaprimanja računa, njihove provjere u odgovarajućim ustrojstvenim jedinicama/upravnim odjelima i pravovremenog plaćanja </w:t>
            </w:r>
          </w:p>
        </w:tc>
        <w:tc>
          <w:tcPr>
            <w:tcW w:w="546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pisane procedure</w:t>
            </w:r>
          </w:p>
        </w:tc>
      </w:tr>
      <w:tr w:rsidR="005F3DDF" w:rsidRPr="005F3DDF" w:rsidTr="00604C26">
        <w:trPr>
          <w:trHeight w:val="536"/>
        </w:trPr>
        <w:tc>
          <w:tcPr>
            <w:tcW w:w="824" w:type="dxa"/>
            <w:shd w:val="clear" w:color="auto" w:fill="FFFFFF"/>
            <w:noWrap/>
            <w:vAlign w:val="center"/>
          </w:tcPr>
          <w:p w:rsidR="005F3DDF" w:rsidRPr="005F3DDF" w:rsidDel="00670777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5467" w:type="dxa"/>
            <w:gridSpan w:val="2"/>
            <w:shd w:val="clear" w:color="auto" w:fill="FFFFFF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Svi ugovori se čuvaju i arhiviraju sukladno propisima o čuvanju arhivske građe</w:t>
            </w:r>
          </w:p>
        </w:tc>
        <w:tc>
          <w:tcPr>
            <w:tcW w:w="546" w:type="dxa"/>
            <w:shd w:val="clear" w:color="auto" w:fill="FFFFFF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shd w:val="clear" w:color="auto" w:fill="FFFFFF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shd w:val="clear" w:color="auto" w:fill="FFFFFF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na pravilnik o zaštiti i obradi arhivskoga gradiva</w:t>
            </w:r>
          </w:p>
        </w:tc>
      </w:tr>
      <w:tr w:rsidR="005F3DDF" w:rsidRPr="005F3DDF" w:rsidTr="00604C26">
        <w:trPr>
          <w:trHeight w:val="764"/>
        </w:trPr>
        <w:tc>
          <w:tcPr>
            <w:tcW w:w="824" w:type="dxa"/>
            <w:noWrap/>
            <w:vAlign w:val="center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33. </w:t>
            </w:r>
          </w:p>
        </w:tc>
        <w:tc>
          <w:tcPr>
            <w:tcW w:w="5467" w:type="dxa"/>
            <w:gridSpan w:val="2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Imenovana je osoba za nepravilnosti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druga državna tijela na razini razdjela organizacijske klasifikacije te jedinice lokalne i područne (regionalne) samouprave)</w:t>
            </w:r>
          </w:p>
        </w:tc>
        <w:tc>
          <w:tcPr>
            <w:tcW w:w="546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odluke o imenovanju ili link na web stranicu gdje su objavljeni podaci o osobi za nepravilnosti</w:t>
            </w:r>
          </w:p>
        </w:tc>
      </w:tr>
    </w:tbl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F3DDF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</w:t>
      </w:r>
    </w:p>
    <w:p w:rsidR="005F3DDF" w:rsidRPr="005F3DDF" w:rsidRDefault="005F3DDF" w:rsidP="005F3D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U ćelije označene sivom bojom nije dozvoljeno upisivati odgovore.</w:t>
      </w:r>
    </w:p>
    <w:p w:rsidR="005F3DDF" w:rsidRPr="005F3DDF" w:rsidRDefault="005F3DDF" w:rsidP="005F3DDF">
      <w:pPr>
        <w:spacing w:after="0"/>
        <w:rPr>
          <w:rFonts w:eastAsia="Times New Roman"/>
          <w:b/>
        </w:rPr>
        <w:sectPr w:rsidR="005F3DDF" w:rsidRPr="005F3DDF" w:rsidSect="005F3D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711"/>
        <w:gridCol w:w="560"/>
        <w:gridCol w:w="505"/>
        <w:gridCol w:w="567"/>
        <w:gridCol w:w="2097"/>
        <w:gridCol w:w="4168"/>
      </w:tblGrid>
      <w:tr w:rsidR="005F3DDF" w:rsidRPr="005F3DDF" w:rsidTr="00604C26">
        <w:trPr>
          <w:trHeight w:val="255"/>
        </w:trPr>
        <w:tc>
          <w:tcPr>
            <w:tcW w:w="851" w:type="dxa"/>
            <w:vMerge w:val="restart"/>
            <w:shd w:val="clear" w:color="auto" w:fill="C0C0C0"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5711" w:type="dxa"/>
            <w:vMerge w:val="restart"/>
            <w:shd w:val="clear" w:color="auto" w:fill="C0C0C0"/>
            <w:noWrap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3656" w:type="dxa"/>
            <w:gridSpan w:val="4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4241" w:type="dxa"/>
            <w:vMerge w:val="restart"/>
            <w:shd w:val="clear" w:color="auto" w:fill="C0C0C0"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5F3DDF" w:rsidRPr="005F3DDF" w:rsidTr="00604C26">
        <w:trPr>
          <w:trHeight w:val="630"/>
        </w:trPr>
        <w:tc>
          <w:tcPr>
            <w:tcW w:w="851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1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05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94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DJELOMIČNO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4241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F3DDF" w:rsidRPr="005F3DDF" w:rsidTr="00CA21E5">
        <w:trPr>
          <w:trHeight w:val="650"/>
        </w:trPr>
        <w:tc>
          <w:tcPr>
            <w:tcW w:w="10218" w:type="dxa"/>
            <w:gridSpan w:val="6"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JAVNA NABAVA </w:t>
            </w:r>
          </w:p>
        </w:tc>
        <w:tc>
          <w:tcPr>
            <w:tcW w:w="4241" w:type="dxa"/>
            <w:vAlign w:val="center"/>
          </w:tcPr>
          <w:p w:rsidR="005F3DDF" w:rsidRPr="005F3DDF" w:rsidRDefault="005F3DDF" w:rsidP="00CA21E5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dokazati na uzorku od 5% ugovora/objava/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br/>
              <w:t xml:space="preserve">provedenih postupaka javne nabave    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 zaključenim ugovorima o nabavama velike vrijednosti ugovoreni su instrumenti za osiguranje urednog ispunjenja ugovornih obveza  ili odredbe o ugovornoj kazni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ugovora, navesti članak u kojem stoje odredbe o instrumentima urednog ispunjenja ugovornih obveza  ili odredbe o ugovornoj kazni</w:t>
            </w:r>
          </w:p>
        </w:tc>
      </w:tr>
      <w:tr w:rsidR="005F3DDF" w:rsidRPr="005F3DDF" w:rsidTr="00604C26">
        <w:trPr>
          <w:trHeight w:val="758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Ugovori o javnoj nabavi zaključeni su u skladu s uvjetima određenim u dokumentaciji za nadmetanje i odabranom ponudom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dokumentacije o provedenim postupcima i preslike odnosno reference ugovora</w:t>
            </w:r>
          </w:p>
        </w:tc>
      </w:tr>
      <w:tr w:rsidR="005F3DDF" w:rsidRPr="005F3DDF" w:rsidTr="00604C26">
        <w:trPr>
          <w:trHeight w:val="102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Za sve predmete javne nabave čija je procijenjena vrijednost jednaka ili veća od 200.000,00 kuna za nabavu robe i usluga, odnosno za nabavu radova jednaka ili veća od 500.000,00 kuna provedeni su postupci javne nabave sukladno odredbama Zakona o javnoj nabavi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oznake i datum objave </w:t>
            </w:r>
          </w:p>
        </w:tc>
      </w:tr>
      <w:tr w:rsidR="005F3DDF" w:rsidRPr="005F3DDF" w:rsidTr="00604C26">
        <w:trPr>
          <w:trHeight w:val="76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Za provedene postupke javne nabave u Elektroničkom oglasniku javne nabave objavljene su odgovarajuće objave sukladno Zakonu o javnoj nabavi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oznake i datum objave</w:t>
            </w:r>
          </w:p>
        </w:tc>
      </w:tr>
      <w:tr w:rsidR="005F3DDF" w:rsidRPr="005F3DDF" w:rsidTr="00604C26">
        <w:trPr>
          <w:trHeight w:val="76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Na internetskim stranicama (ili u službenim glasilu ili na oglasnoj ploči ili na drugi način) dostupan je popis gospodarskih subjekata s kojima je obveznik odnosno predstavnik naručitelja ili s njime povezane osobe u sukobu interesa u smislu propisa o javnoj nabavi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adresa internetske stranice ili broj i naziv službenog glasila ili druga oznaka mjesta gdje je popis objavljen </w:t>
            </w:r>
          </w:p>
        </w:tc>
      </w:tr>
      <w:tr w:rsidR="005F3DDF" w:rsidRPr="005F3DDF" w:rsidTr="00604C26">
        <w:trPr>
          <w:trHeight w:val="51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Donesen je plan nabave u skladu s propisima o javnoj nabavi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shd w:val="clear" w:color="auto" w:fill="A6A6A6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adresa internetskih stranicama gdje je objavljen plan nabave</w:t>
            </w:r>
          </w:p>
        </w:tc>
      </w:tr>
      <w:tr w:rsidR="005F3DDF" w:rsidRPr="005F3DDF" w:rsidTr="00604C26">
        <w:trPr>
          <w:trHeight w:val="83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 pripremi i provedbi postupaka javne nabave najmanje jedan ovlašteni predstavnik imao je važeći certifikat u području javne nabave u skladu s propisima o javnoj nabavi.</w:t>
            </w:r>
            <w:r w:rsidRPr="005F3DDF" w:rsidDel="009464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potvrda i internih odluka o imenovanju ovlaštenih predstavnika naručitelja</w:t>
            </w:r>
          </w:p>
        </w:tc>
      </w:tr>
      <w:tr w:rsidR="005F3DDF" w:rsidRPr="005F3DDF" w:rsidTr="00604C26">
        <w:trPr>
          <w:trHeight w:val="861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41.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 pripremi tehničke specifikacije sudjelovale su osobe različite od  ovlaštenih predstavnika naručitelja koje ocjenjuju ponude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imena osoba koje su sudjelovale u pripremi tehničke dokumentacije i preslika odnosno referenca internih odluka o imenovanju ovlaštenih predstavnika naručitelja</w:t>
            </w:r>
          </w:p>
        </w:tc>
      </w:tr>
      <w:tr w:rsidR="005F3DDF" w:rsidRPr="005F3DDF" w:rsidTr="00604C26">
        <w:trPr>
          <w:trHeight w:val="1073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42.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Ovlašteni predstavnici naručitelja koji daju prijedlog za odluku o odabiru bili su različiti od osoba koje prate provedbu ugovora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internih odluka o imenovanju ovlaštenih predstavnika naručitelja i imena osoba koje prate provedbu ugovora</w:t>
            </w:r>
          </w:p>
        </w:tc>
      </w:tr>
      <w:tr w:rsidR="005F3DDF" w:rsidRPr="005F3DDF" w:rsidTr="00604C26">
        <w:trPr>
          <w:trHeight w:val="822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43.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Naručitelj vodi registar ugovora o javnoj nabavi i okvirnih sporazuma koji sadrži podatke u skladu s propisima o javnoj nabavi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shd w:val="clear" w:color="auto" w:fill="A6A6A6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adresa internetskih stranicama gdje je objavljen registar ugovora o javnoj nabavi</w:t>
            </w:r>
            <w:r w:rsidRPr="005F3DDF">
              <w:rPr>
                <w:rFonts w:eastAsia="Times New Roman"/>
              </w:rPr>
              <w:t xml:space="preserve">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i okvirnih sporazuma  </w:t>
            </w:r>
          </w:p>
        </w:tc>
      </w:tr>
      <w:tr w:rsidR="005F3DDF" w:rsidRPr="005F3DDF" w:rsidTr="00604C26">
        <w:trPr>
          <w:trHeight w:val="592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44.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Sva dokumentacija o svakom postupku javne nabave čuva se najmanje četiri godine od završetka postupka javne nabave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ovitka predmeta</w:t>
            </w:r>
          </w:p>
        </w:tc>
      </w:tr>
      <w:tr w:rsidR="005F3DDF" w:rsidRPr="005F3DDF" w:rsidTr="00604C26">
        <w:trPr>
          <w:trHeight w:val="558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45.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Ugovori o nabavi javnih usluga iz Dodatka II. B sklopljeni su na temelju odredaba Zakona o javnoj nabavi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dokumentacije o nabavi i sklopljenih ugovora</w:t>
            </w:r>
          </w:p>
        </w:tc>
      </w:tr>
      <w:tr w:rsidR="005F3DDF" w:rsidRPr="005F3DDF" w:rsidTr="00604C26">
        <w:trPr>
          <w:trHeight w:val="836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46.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Do 31. ožujka tijelu nadležnom za sustav javne nabave dostavljeno je  izvješće o javnoj nabavi za prethodnu godinu koje sadrži podatke sukladno Zakonu o javnoj nabavi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shd w:val="clear" w:color="auto" w:fill="A6A6A6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izvješća</w:t>
            </w:r>
          </w:p>
        </w:tc>
      </w:tr>
      <w:tr w:rsidR="005F3DDF" w:rsidRPr="005F3DDF" w:rsidTr="00604C26">
        <w:trPr>
          <w:trHeight w:val="848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47.</w:t>
            </w:r>
          </w:p>
        </w:tc>
        <w:tc>
          <w:tcPr>
            <w:tcW w:w="5711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Donesen je akt kojim su uređena pitanja nabave za nabavu robe i usluga odnosno za nabavu radova na koje se ne primjenjuje Zakon o javnoj nabavi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6A6A6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1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akta</w:t>
            </w:r>
          </w:p>
        </w:tc>
      </w:tr>
    </w:tbl>
    <w:p w:rsidR="005F3DDF" w:rsidRPr="005F3DDF" w:rsidRDefault="005F3DDF" w:rsidP="005F3DDF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5F3DDF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color w:val="000000"/>
          <w:sz w:val="20"/>
          <w:szCs w:val="20"/>
        </w:rPr>
        <w:t>Ako je provođenje postupaka javne nabave objedinjeno na razini osnivača, obveznik odgovara „NIJE PRIMJENJIVO – N/P“.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</w:t>
      </w:r>
    </w:p>
    <w:p w:rsidR="005F3DDF" w:rsidRPr="005F3DDF" w:rsidRDefault="005F3DDF" w:rsidP="005F3DDF">
      <w:pPr>
        <w:spacing w:after="0"/>
        <w:rPr>
          <w:rFonts w:eastAsia="Times New Roman"/>
          <w:b/>
        </w:rPr>
      </w:pPr>
    </w:p>
    <w:p w:rsidR="005F3DDF" w:rsidRPr="005F3DDF" w:rsidRDefault="005F3DDF" w:rsidP="005F3DDF">
      <w:pPr>
        <w:spacing w:after="0"/>
        <w:rPr>
          <w:rFonts w:eastAsia="Times New Roman"/>
          <w:b/>
        </w:rPr>
        <w:sectPr w:rsidR="005F3DDF" w:rsidRPr="005F3DDF" w:rsidSect="005F3D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703"/>
        <w:gridCol w:w="560"/>
        <w:gridCol w:w="505"/>
        <w:gridCol w:w="567"/>
        <w:gridCol w:w="2097"/>
        <w:gridCol w:w="4176"/>
      </w:tblGrid>
      <w:tr w:rsidR="005F3DDF" w:rsidRPr="005F3DDF" w:rsidTr="00604C26">
        <w:trPr>
          <w:trHeight w:val="255"/>
        </w:trPr>
        <w:tc>
          <w:tcPr>
            <w:tcW w:w="851" w:type="dxa"/>
            <w:vMerge w:val="restart"/>
            <w:shd w:val="clear" w:color="auto" w:fill="C0C0C0"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5703" w:type="dxa"/>
            <w:vMerge w:val="restart"/>
            <w:shd w:val="clear" w:color="auto" w:fill="C0C0C0"/>
            <w:noWrap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3656" w:type="dxa"/>
            <w:gridSpan w:val="4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4249" w:type="dxa"/>
            <w:vMerge w:val="restart"/>
            <w:shd w:val="clear" w:color="auto" w:fill="C0C0C0"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5F3DDF" w:rsidRPr="005F3DDF" w:rsidTr="00604C26">
        <w:trPr>
          <w:trHeight w:val="540"/>
        </w:trPr>
        <w:tc>
          <w:tcPr>
            <w:tcW w:w="851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03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05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94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DJELOMIČNO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4249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611"/>
        </w:trPr>
        <w:tc>
          <w:tcPr>
            <w:tcW w:w="14459" w:type="dxa"/>
            <w:gridSpan w:val="7"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sz w:val="20"/>
                <w:szCs w:val="20"/>
              </w:rPr>
              <w:t>RAČUNOVODSTVO</w:t>
            </w:r>
          </w:p>
        </w:tc>
      </w:tr>
      <w:tr w:rsidR="005F3DDF" w:rsidRPr="005F3DDF" w:rsidTr="00604C26">
        <w:trPr>
          <w:trHeight w:val="812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48.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Rashodi su evidentirani  u glavnoj knjizi na temelju nastanka poslovnog događaja (obveze) i u izvještajnom razdoblju na koje se odnose, neovisno o plaćanju 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uzorak 1% svih dokumenata temeljem kojih su evidentirani poslovni događaji (ulazni računi, obračuni i dr.), a najviše 100 </w:t>
            </w:r>
          </w:p>
        </w:tc>
      </w:tr>
      <w:tr w:rsidR="005F3DDF" w:rsidRPr="005F3DDF" w:rsidTr="00604C26">
        <w:trPr>
          <w:trHeight w:val="1122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49.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Narudžbenice su valjano ispunjene na način da se vidi tko je nabavu inicirao, tko je nabavu odobrio, koja vrsta roba/usluga/ radova se nabavlja, uz detaljnu specifikaciju jedinica mjere, količina, jediničnih cijena te ukupnih cijena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narudžbenica, a najviše 100</w:t>
            </w:r>
          </w:p>
        </w:tc>
      </w:tr>
      <w:tr w:rsidR="005F3DDF" w:rsidRPr="005F3DDF" w:rsidTr="00604C26">
        <w:trPr>
          <w:trHeight w:val="84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50.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 potpisanim ugovorima s dobavljačima/pružateljima usluga/izvršiteljima radova detaljno je utvrđena vrsta robe/usluga/radova koji se nabavljaju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5% svih ugovora i minimalno 5% ukupne vrijednosti svih ugovora</w:t>
            </w:r>
          </w:p>
        </w:tc>
      </w:tr>
      <w:tr w:rsidR="005F3DDF" w:rsidRPr="005F3DDF" w:rsidTr="00604C26">
        <w:trPr>
          <w:trHeight w:val="127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51.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Iz primke, otpremnice i drugog odgovarajućeg dokumenta potpisanog od skladištara ili druge osobe zadužene za zaprimanje robe i dobavljača vidljivo je da je prilikom preuzimanja robe utvrđena količina, stanje i kvaliteta zaprimljene robe 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preslike odnosno reference dokumenata na uzorku 5% svih dokumenata, a najviše 100</w:t>
            </w:r>
          </w:p>
        </w:tc>
      </w:tr>
      <w:tr w:rsidR="005F3DDF" w:rsidRPr="005F3DDF" w:rsidTr="00604C26">
        <w:trPr>
          <w:trHeight w:val="344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52.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Postoji izvještaj o obavljenoj usluzi odnosno druga vrsta pisanog odobrenja ili dokumentacije kojom se potvrđuje izvršenje usluge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izvještaja ili druge dokumentacije na uzorku 1% izvršenih usluga, a najviše 100</w:t>
            </w:r>
          </w:p>
        </w:tc>
      </w:tr>
      <w:tr w:rsidR="005F3DDF" w:rsidRPr="005F3DDF" w:rsidTr="00604C26">
        <w:trPr>
          <w:trHeight w:val="84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53.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O izvedenim radovima, sukladno definiranoj proceduri odobrenja radova, postoji privremena odnosno konačna obračunska situacija, koju odobrava osoba odnosno tijelo koje nadzire i odobrava radove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preslike odnosno reference odobrenih privremenih odnosno konačnih situacija na uzorku 5% svih ugovora </w:t>
            </w:r>
          </w:p>
        </w:tc>
      </w:tr>
      <w:tr w:rsidR="005F3DDF" w:rsidRPr="005F3DDF" w:rsidTr="00604C26">
        <w:trPr>
          <w:trHeight w:val="573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54.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Na zaprimljenim računima navedeni su svi elementi računa u skladu sa zakonskim i </w:t>
            </w:r>
            <w:proofErr w:type="spellStart"/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podzakonskim</w:t>
            </w:r>
            <w:proofErr w:type="spellEnd"/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 propisima 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5F3DDF" w:rsidRPr="005F3DDF" w:rsidTr="00604C26">
        <w:trPr>
          <w:trHeight w:val="76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55.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Zaprimljeni računi sadrže referencu na broj narudžbenice/ugovora temeljem kojeg su roba/usluge/radovi isporučeni</w:t>
            </w:r>
            <w:r w:rsidRPr="005F3DDF"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 po ugovorima sklopljenim temeljem postupaka javne nabave, a najviše 100</w:t>
            </w:r>
          </w:p>
        </w:tc>
      </w:tr>
      <w:tr w:rsidR="005F3DDF" w:rsidRPr="005F3DDF" w:rsidTr="00604C26">
        <w:trPr>
          <w:trHeight w:val="82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56.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Računi sadrže detaljnu specifikaciju roba/usluga/radova koje odgovaraju opisu i specifikaciji roba/usluga/radova definiranih narudžbenicom odnosno ugovorom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CA21E5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</w:t>
            </w:r>
            <w:r w:rsidR="005F3DDF"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zorak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 </w:t>
            </w:r>
            <w:r w:rsidR="005F3DDF"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1% svih računa, a najviše 100</w:t>
            </w:r>
          </w:p>
        </w:tc>
      </w:tr>
      <w:tr w:rsidR="005F3DDF" w:rsidRPr="005F3DDF" w:rsidTr="00604C26">
        <w:trPr>
          <w:trHeight w:val="47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57.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Za svaki račun obavljena je matematička kontrola ispravnosti iznosa koji je zaračunan, što je naznačeno na računu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5F3DDF" w:rsidRPr="005F3DDF" w:rsidTr="00604C26">
        <w:trPr>
          <w:trHeight w:val="497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58.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Provjereno je postojanje potpisa, žiga ili druge oznake kojom se može potvrditi da je račun odobren za plaćanje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5F3DDF" w:rsidRPr="005F3DDF" w:rsidTr="00604C26">
        <w:trPr>
          <w:trHeight w:val="1092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59.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Nakon provjere suštine računa i dokumentacije obavljenih usluga, radova odnosno nabave robe računi se u glavnoj knjizi evidentiraju po proračunskim klasifikacijama </w:t>
            </w: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(odgovaraju obveznici primjene proračunskog računovodstva)</w:t>
            </w:r>
          </w:p>
        </w:tc>
        <w:tc>
          <w:tcPr>
            <w:tcW w:w="56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5F3DDF" w:rsidRPr="005F3DDF" w:rsidTr="00604C26">
        <w:trPr>
          <w:trHeight w:val="76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60.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Prihodi su evidentirani u glavnoj knjizi u trenutku u kojem su postali raspoloživi i mjerljivi </w:t>
            </w: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(odgovaraju obveznici primjene proračunskog računovodstva)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uzorak 1% svih uplata, a najviše 100 </w:t>
            </w:r>
          </w:p>
        </w:tc>
      </w:tr>
      <w:tr w:rsidR="005F3DDF" w:rsidRPr="005F3DDF" w:rsidTr="00604C26">
        <w:trPr>
          <w:trHeight w:val="153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61.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Za primljene i dane donacije nefinancijske imovine u glavnoj knjizi evidentirani su prihodi i rashodi prema procijenjenoj vrijednosti imovine, a međusobni prijenos nefinancijske imovine proračuna i proračunskih korisnika evidentiran je preko promjena u obujmu imovine </w:t>
            </w: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(odgovaraju obveznici primjene proračunskog računovodstva)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5% svih donacija i minimalno 5% ukupne vrijednosti svih primljenih i danih donacija</w:t>
            </w:r>
          </w:p>
        </w:tc>
      </w:tr>
      <w:tr w:rsidR="005F3DDF" w:rsidRPr="005F3DDF" w:rsidTr="00604C26">
        <w:trPr>
          <w:trHeight w:val="1020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62.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Povjerenstva za popis osnovao je čelnik proračuna/proračunskog korisnika. Odredio je datum obavljanja popisa, rokove obavljanja popisa i dostavljanje izvještaja s priloženim popisnim listama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odluke o provođenju popisa</w:t>
            </w:r>
          </w:p>
        </w:tc>
      </w:tr>
      <w:tr w:rsidR="005F3DDF" w:rsidRPr="005F3DDF" w:rsidTr="00604C26">
        <w:trPr>
          <w:trHeight w:val="722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63.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Povjerenstvo za popis obavilo je popis cjelokupne imovine i obveza, sastavilo izvještaj temeljem popisnih lista i predalo ga čelniku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izvještaja</w:t>
            </w:r>
          </w:p>
        </w:tc>
      </w:tr>
      <w:tr w:rsidR="005F3DDF" w:rsidRPr="005F3DDF" w:rsidTr="00CA21E5">
        <w:trPr>
          <w:trHeight w:val="977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64.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Poslovne knjige i računovodstvene isprave čuvaju se sukladno rokovima utvrđenima Pravilnikom o proračunskom računovodstvu i računskom planu </w:t>
            </w: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(odgovaraju obveznici primjene proračunskog računovodstva)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klasifikacijska oznaka Pravilnika o čuvanju arhivskog i </w:t>
            </w:r>
            <w:proofErr w:type="spellStart"/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registraturnog</w:t>
            </w:r>
            <w:proofErr w:type="spellEnd"/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 gradiva odnosno odgovarajući dokaz</w:t>
            </w:r>
          </w:p>
        </w:tc>
      </w:tr>
      <w:tr w:rsidR="005F3DDF" w:rsidRPr="005F3DDF" w:rsidTr="00604C26">
        <w:trPr>
          <w:trHeight w:val="778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65.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Uspostavljene računovodstvene evidencije omogućile su praćenje korištenja sredstva po izvorima financiranja i programima (projektima/aktivnostima)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dio analitičke evidencije  po izvorima financiranja i programima (projektima i aktivnostima) ili referenca iz pitanja 23. </w:t>
            </w:r>
          </w:p>
        </w:tc>
      </w:tr>
      <w:tr w:rsidR="005F3DDF" w:rsidRPr="005F3DDF" w:rsidTr="00604C26">
        <w:trPr>
          <w:trHeight w:val="265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66.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Uspostavljena je evidencija svih ugovora 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dijela evidencije</w:t>
            </w:r>
          </w:p>
        </w:tc>
      </w:tr>
      <w:tr w:rsidR="005F3DDF" w:rsidRPr="005F3DDF" w:rsidTr="00604C26">
        <w:trPr>
          <w:trHeight w:val="553"/>
        </w:trPr>
        <w:tc>
          <w:tcPr>
            <w:tcW w:w="851" w:type="dxa"/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67.</w:t>
            </w:r>
          </w:p>
        </w:tc>
        <w:tc>
          <w:tcPr>
            <w:tcW w:w="5703" w:type="dxa"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Vodi se analitička evidencija dugotrajne nefinancijske imovine i usklađena je s glavnom knjigom</w:t>
            </w:r>
          </w:p>
        </w:tc>
        <w:tc>
          <w:tcPr>
            <w:tcW w:w="56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9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dijela evidencije</w:t>
            </w:r>
          </w:p>
        </w:tc>
      </w:tr>
    </w:tbl>
    <w:p w:rsidR="005F3DDF" w:rsidRPr="005F3DDF" w:rsidRDefault="005F3DDF" w:rsidP="005F3DDF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5F3DDF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 U ćelije označene sivom bojom nije dozvoljeno upisivati odgovore.</w:t>
      </w:r>
    </w:p>
    <w:p w:rsidR="005F3DDF" w:rsidRPr="005F3DDF" w:rsidRDefault="005F3DDF" w:rsidP="005F3DDF">
      <w:pPr>
        <w:spacing w:after="0"/>
        <w:rPr>
          <w:rFonts w:eastAsia="Times New Roman"/>
          <w:b/>
        </w:rPr>
        <w:sectPr w:rsidR="005F3DDF" w:rsidRPr="005F3DDF" w:rsidSect="005F3D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845"/>
        <w:gridCol w:w="830"/>
        <w:gridCol w:w="727"/>
        <w:gridCol w:w="703"/>
        <w:gridCol w:w="5645"/>
      </w:tblGrid>
      <w:tr w:rsidR="005F3DDF" w:rsidRPr="005F3DDF" w:rsidTr="00604C26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5845" w:type="dxa"/>
            <w:vMerge w:val="restart"/>
            <w:tcBorders>
              <w:left w:val="single" w:sz="4" w:space="0" w:color="auto"/>
            </w:tcBorders>
            <w:shd w:val="clear" w:color="auto" w:fill="C0C0C0"/>
            <w:noWrap/>
            <w:vAlign w:val="center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2260" w:type="dxa"/>
            <w:gridSpan w:val="3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5645" w:type="dxa"/>
            <w:vMerge w:val="restart"/>
            <w:shd w:val="clear" w:color="auto" w:fill="C0C0C0"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5F3DDF" w:rsidRPr="005F3DDF" w:rsidTr="00604C26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</w:tcBorders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727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3" w:type="dxa"/>
            <w:shd w:val="clear" w:color="auto" w:fill="C0C0C0"/>
            <w:noWrap/>
            <w:vAlign w:val="bottom"/>
          </w:tcPr>
          <w:p w:rsidR="005F3DDF" w:rsidRPr="005F3DDF" w:rsidRDefault="005F3DDF" w:rsidP="005F3DD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5F3DDF">
              <w:rPr>
                <w:rFonts w:ascii="Arial" w:eastAsia="Times New Roman" w:hAnsi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  <w:r w:rsidRPr="005F3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45" w:type="dxa"/>
            <w:vMerge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556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IZVJEŠTAVANJE I OSTALO </w:t>
            </w:r>
          </w:p>
        </w:tc>
      </w:tr>
      <w:tr w:rsidR="005F3DDF" w:rsidRPr="005F3DDF" w:rsidTr="00604C26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68.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Kod predaje financijskih izvještaja poštivali su se rokovi i način predaje utvrđeni Pravilnikom o financijskom izvještavanju u proračunskom računovodstvu </w:t>
            </w:r>
            <w:r w:rsidRPr="005F3DDF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(odgovaraju obveznici primjene proračunskog računovodstva)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5" w:type="dxa"/>
          </w:tcPr>
          <w:p w:rsidR="005F3DDF" w:rsidRPr="005F3DDF" w:rsidRDefault="005F3DDF" w:rsidP="00604C26">
            <w:pPr>
              <w:spacing w:after="0"/>
              <w:jc w:val="both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preslike odnosno reference referentnih stranica financijskih izvještaja </w:t>
            </w:r>
          </w:p>
        </w:tc>
      </w:tr>
      <w:tr w:rsidR="005F3DDF" w:rsidRPr="005F3DDF" w:rsidTr="00604C26">
        <w:trPr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69.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Jedinica lokalne i područne (regionalne) samouprave izvještavala je Ministarstvo financija o zaduženjima/danim suglasnostima za zaduženja/jamstva sukladno odredbama Zakona o proračunu i Pravilnika o postupku zaduživanja te davanja jamstava i suglasnosti jedinica lokalne i područne (regionalne) samouprave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jedinice lokalne i područne (regionalne) samouprave)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5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</w:t>
            </w:r>
          </w:p>
        </w:tc>
      </w:tr>
      <w:tr w:rsidR="005F3DDF" w:rsidRPr="005F3DDF" w:rsidTr="00604C26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70.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Jedinica lokalne i područne (regionalne) samouprave (korisnik pomoći izravnanja) dostavila je izvještaj o utrošenim sredstvima resornom ministarstvu ili nadležnom tijelu državne uprave na propisan način i u rokovima utvrđenima Uredbom o načinu izračuna iznosa pomoći izravnanja za decentralizirane funkcije jedinice lokalne i područne (regionalne) samouprave i odlukama o kriterijima i mjerilima za osiguranje minimalnog financijskog standarda javnih potreba u djelatnostima osnovnog i srednjeg školstva, socijalne skrbi, zdravstva i vatrogastva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 (odgovaraju jedinice lokalne i područne (regionalne) samouprave - nositelji decentraliziranih funkcija)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5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</w:t>
            </w:r>
          </w:p>
        </w:tc>
      </w:tr>
      <w:tr w:rsidR="005F3DDF" w:rsidRPr="005F3DDF" w:rsidTr="00604C26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71.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Kod predaje polugodišnjeg i godišnjeg izvještaja o izvršenju proračuna jedinice lokalne i područne (regionalne) samouprave poštivali su se rokovi i odredbe o sadržaju izvještaja utvrđene Zakonom o proračunu 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jedinice lokalne i područne (regionalne) samouprave)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5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 odnosno drugi dokaz da je polugodišnji i godišnji izvještaj predan predstavničkom tijelu te broj i naziv službenog glasila i datum objave izvještaja</w:t>
            </w:r>
          </w:p>
        </w:tc>
      </w:tr>
      <w:tr w:rsidR="005F3DDF" w:rsidRPr="005F3DDF" w:rsidTr="00604C26">
        <w:trPr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72.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Godišnji izvještaj o izvršenju proračuna jedinice lokalne i područne (regionalne) samouprave dostavljen je Ministarstvu financija i Državnom uredu za reviziju u roku od 15 dana nakon što ga je donijelo predstavničko tijelo odnosno u slučaju da ga predstavničko tijelo nije donijelo, u roku od 60 dana od dana podnošenja navedenog izvještaja predstavničkom tijelu</w:t>
            </w:r>
            <w:r w:rsidRPr="005F3DDF">
              <w:rPr>
                <w:rFonts w:eastAsia="Times New Roman"/>
                <w:color w:val="000000"/>
              </w:rPr>
              <w:t xml:space="preserve">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jedinice lokalne i područne (regionalne) samouprave)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5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</w:t>
            </w:r>
          </w:p>
        </w:tc>
      </w:tr>
      <w:tr w:rsidR="005F3DDF" w:rsidRPr="005F3DDF" w:rsidTr="00604C26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73.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sz w:val="20"/>
                <w:szCs w:val="20"/>
              </w:rPr>
              <w:t>Provedene su suštinske i formalne kontrole dostavljenih Izjava o fiskalnoj odgovornost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 (odgovaraju nadležna ministarstva i jedinice lokalne i područne (regionalne) samouprave kojima se dostavljaju izjave o fiskalnoj odgovornosti)</w:t>
            </w:r>
            <w:r w:rsidRPr="005F3D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5" w:type="dxa"/>
          </w:tcPr>
          <w:p w:rsidR="005F3DDF" w:rsidRPr="005F3DDF" w:rsidRDefault="005F3DDF" w:rsidP="005F3DDF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dopisa ili pismena o izvršenim kontrolama</w:t>
            </w:r>
          </w:p>
        </w:tc>
      </w:tr>
      <w:tr w:rsidR="005F3DDF" w:rsidRPr="005F3DDF" w:rsidTr="00604C26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3DDF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5845" w:type="dxa"/>
            <w:tcBorders>
              <w:left w:val="single" w:sz="4" w:space="0" w:color="auto"/>
            </w:tcBorders>
          </w:tcPr>
          <w:p w:rsidR="005F3DDF" w:rsidRPr="005F3DDF" w:rsidRDefault="005F3DDF" w:rsidP="005F3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DDF">
              <w:rPr>
                <w:rFonts w:ascii="Arial" w:hAnsi="Arial" w:cs="Arial"/>
                <w:sz w:val="20"/>
                <w:szCs w:val="20"/>
              </w:rPr>
              <w:t xml:space="preserve">Uspostavljen je sustav dokumentiranja podataka o rizicima i izvještavanja o najznačajnijim rizicima i postoji jasna procedura o upravljanju rizicima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druga tijela državne uprave na razini razdjela organizacijske</w:t>
            </w:r>
            <w:r w:rsidR="00604C26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 klasifikacije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5" w:type="dxa"/>
            <w:hideMark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color w:val="969696"/>
                <w:sz w:val="20"/>
                <w:szCs w:val="20"/>
              </w:rPr>
            </w:pP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registra rizika, izvještaja i internog akta (sva tri zahtjeva treba ispuniti)</w:t>
            </w:r>
          </w:p>
          <w:p w:rsidR="005F3DDF" w:rsidRPr="005F3DDF" w:rsidRDefault="005F3DDF" w:rsidP="005F3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DF" w:rsidRPr="005F3DDF" w:rsidTr="00604C26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3DDF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5845" w:type="dxa"/>
            <w:tcBorders>
              <w:left w:val="single" w:sz="4" w:space="0" w:color="auto"/>
            </w:tcBorders>
            <w:hideMark/>
          </w:tcPr>
          <w:p w:rsidR="005F3DDF" w:rsidRPr="005F3DDF" w:rsidRDefault="005F3DDF" w:rsidP="005F3DD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DDF">
              <w:rPr>
                <w:rFonts w:ascii="Arial" w:hAnsi="Arial" w:cs="Arial"/>
                <w:sz w:val="20"/>
                <w:szCs w:val="20"/>
              </w:rPr>
              <w:t xml:space="preserve">Internim aktom (uputom, sporazumom) uređen je način komunikacije, izvještavanja i drugih aktivnosti s proračunskim i izvanproračunskim korisnicima iz nadležnosti  </w:t>
            </w:r>
            <w:r w:rsidRPr="005F3DDF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(odgovaraju ministarstva i jedinice lokalne i područne (regionalne) samouprave koji imaju proračunske i izvanproračunske korisnike)</w:t>
            </w:r>
          </w:p>
        </w:tc>
        <w:tc>
          <w:tcPr>
            <w:tcW w:w="830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noWrap/>
            <w:vAlign w:val="bottom"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5" w:type="dxa"/>
            <w:hideMark/>
          </w:tcPr>
          <w:p w:rsidR="005F3DDF" w:rsidRPr="005F3DDF" w:rsidRDefault="005F3DDF" w:rsidP="005F3DDF">
            <w:pPr>
              <w:spacing w:after="0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5F3DDF">
              <w:rPr>
                <w:rFonts w:ascii="Arial" w:hAnsi="Arial" w:cs="Arial"/>
                <w:color w:val="969696"/>
                <w:sz w:val="20"/>
                <w:szCs w:val="20"/>
              </w:rPr>
              <w:t>preslika odnosno referenca akta</w:t>
            </w:r>
          </w:p>
        </w:tc>
      </w:tr>
    </w:tbl>
    <w:p w:rsidR="005F3DDF" w:rsidRPr="005F3DDF" w:rsidRDefault="005F3DDF" w:rsidP="005F3DDF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5F3DDF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5F3DDF" w:rsidRPr="005F3DDF" w:rsidRDefault="005F3DDF" w:rsidP="005F3DDF">
      <w:pPr>
        <w:spacing w:after="0"/>
        <w:rPr>
          <w:rFonts w:ascii="Arial" w:eastAsia="Times New Roman" w:hAnsi="Arial" w:cs="Arial"/>
          <w:sz w:val="20"/>
          <w:szCs w:val="20"/>
        </w:rPr>
      </w:pPr>
      <w:r w:rsidRPr="005F3DDF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BD2DF6" w:rsidRPr="003C771D" w:rsidRDefault="005F3DDF" w:rsidP="00116D9D">
      <w:pPr>
        <w:spacing w:after="0"/>
        <w:rPr>
          <w:rFonts w:cs="Arial"/>
          <w:sz w:val="24"/>
          <w:szCs w:val="24"/>
          <w:lang w:eastAsia="hr-HR"/>
        </w:rPr>
      </w:pPr>
      <w:r w:rsidRPr="005F3DDF">
        <w:rPr>
          <w:rFonts w:ascii="Arial" w:eastAsia="Times New Roman" w:hAnsi="Arial" w:cs="Arial"/>
          <w:sz w:val="20"/>
          <w:szCs w:val="20"/>
        </w:rPr>
        <w:t>Ako se u različitim pitanjima traži isti dokaz, potreb</w:t>
      </w:r>
      <w:r w:rsidR="00116D9D">
        <w:rPr>
          <w:rFonts w:ascii="Arial" w:eastAsia="Times New Roman" w:hAnsi="Arial" w:cs="Arial"/>
          <w:sz w:val="20"/>
          <w:szCs w:val="20"/>
        </w:rPr>
        <w:t>no ga je priložiti samo jedno</w:t>
      </w:r>
      <w:bookmarkStart w:id="0" w:name="_GoBack"/>
      <w:bookmarkEnd w:id="0"/>
    </w:p>
    <w:sectPr w:rsidR="00BD2DF6" w:rsidRPr="003C771D" w:rsidSect="00116D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DF" w:rsidRDefault="005F3DDF" w:rsidP="005F3DDF">
      <w:pPr>
        <w:spacing w:after="0" w:line="240" w:lineRule="auto"/>
      </w:pPr>
      <w:r>
        <w:separator/>
      </w:r>
    </w:p>
  </w:endnote>
  <w:endnote w:type="continuationSeparator" w:id="0">
    <w:p w:rsidR="005F3DDF" w:rsidRDefault="005F3DDF" w:rsidP="005F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DF" w:rsidRDefault="005F3DDF" w:rsidP="005F3D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F3DDF" w:rsidRDefault="005F3DDF" w:rsidP="005F3DD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DF" w:rsidRDefault="005F3DDF" w:rsidP="005F3DDF">
    <w:pPr>
      <w:pStyle w:val="Podnoj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DF" w:rsidRDefault="005F3DDF" w:rsidP="005F3DDF">
      <w:pPr>
        <w:spacing w:after="0" w:line="240" w:lineRule="auto"/>
      </w:pPr>
      <w:r>
        <w:separator/>
      </w:r>
    </w:p>
  </w:footnote>
  <w:footnote w:type="continuationSeparator" w:id="0">
    <w:p w:rsidR="005F3DDF" w:rsidRDefault="005F3DDF" w:rsidP="005F3DDF">
      <w:pPr>
        <w:spacing w:after="0" w:line="240" w:lineRule="auto"/>
      </w:pPr>
      <w:r>
        <w:continuationSeparator/>
      </w:r>
    </w:p>
  </w:footnote>
  <w:footnote w:id="1">
    <w:p w:rsidR="00604C26" w:rsidRPr="00604C26" w:rsidRDefault="00604C26" w:rsidP="00604C26">
      <w:pPr>
        <w:pStyle w:val="Tekstfusnote"/>
        <w:rPr>
          <w:rFonts w:ascii="Arial" w:hAnsi="Arial" w:cs="Arial"/>
          <w:lang w:val="hr-HR"/>
        </w:rPr>
      </w:pPr>
      <w:r w:rsidRPr="00604C26">
        <w:rPr>
          <w:rStyle w:val="Referencafusnote"/>
          <w:lang w:val="hr-HR"/>
        </w:rPr>
        <w:footnoteRef/>
      </w:r>
      <w:r w:rsidRPr="00604C26">
        <w:rPr>
          <w:lang w:val="hr-HR"/>
        </w:rPr>
        <w:t xml:space="preserve"> </w:t>
      </w:r>
      <w:r w:rsidRPr="00604C26">
        <w:rPr>
          <w:rFonts w:ascii="Arial" w:hAnsi="Arial" w:cs="Arial"/>
          <w:lang w:val="hr-HR"/>
        </w:rPr>
        <w:t>Stupac Referenca se ne popunjava već su u njemu dane upute koja je vrsta dokaza podloga za davanje odgovora na pitanje</w:t>
      </w:r>
    </w:p>
  </w:footnote>
  <w:footnote w:id="2">
    <w:p w:rsidR="00604C26" w:rsidRPr="00604C26" w:rsidRDefault="00604C26">
      <w:pPr>
        <w:pStyle w:val="Tekstfusnote"/>
        <w:rPr>
          <w:rFonts w:ascii="Arial" w:hAnsi="Arial" w:cs="Arial"/>
          <w:lang w:val="hr-HR"/>
        </w:rPr>
      </w:pPr>
      <w:r w:rsidRPr="00604C26">
        <w:rPr>
          <w:rStyle w:val="Referencafusnote"/>
          <w:rFonts w:ascii="Arial" w:hAnsi="Arial" w:cs="Arial"/>
          <w:lang w:val="hr-HR"/>
        </w:rPr>
        <w:footnoteRef/>
      </w:r>
      <w:r w:rsidRPr="00604C26">
        <w:rPr>
          <w:rFonts w:ascii="Arial" w:hAnsi="Arial" w:cs="Arial"/>
          <w:lang w:val="hr-HR"/>
        </w:rPr>
        <w:t xml:space="preserve"> Za svaki negativan odgovor evidentirati slabost, odnosno nepravilnost u Planu otklanjanja slabosti i nepravilnosti</w:t>
      </w:r>
    </w:p>
  </w:footnote>
  <w:footnote w:id="3">
    <w:p w:rsidR="005F3DDF" w:rsidRDefault="005F3DDF" w:rsidP="005F3DDF">
      <w:pPr>
        <w:pStyle w:val="Tekstfusnote"/>
      </w:pPr>
      <w:r w:rsidRPr="00020917">
        <w:rPr>
          <w:rStyle w:val="Referencafusnote"/>
        </w:rPr>
        <w:footnoteRef/>
      </w:r>
      <w:r w:rsidRPr="00020917"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  <w:footnote w:id="4">
    <w:p w:rsidR="005F3DDF" w:rsidRDefault="005F3DDF" w:rsidP="005F3DDF">
      <w:pPr>
        <w:pStyle w:val="Tekstfusnote"/>
      </w:pPr>
      <w:r w:rsidRPr="00020917">
        <w:rPr>
          <w:rStyle w:val="Referencafusnote"/>
        </w:rPr>
        <w:footnoteRef/>
      </w:r>
      <w:r w:rsidRPr="00020917">
        <w:t xml:space="preserve"> </w:t>
      </w:r>
      <w:r w:rsidRPr="00020917">
        <w:rPr>
          <w:rFonts w:ascii="Arial" w:hAnsi="Arial" w:cs="Arial"/>
          <w:lang w:val="hr-HR"/>
        </w:rPr>
        <w:t>Za svaki djelomično potvrdan odgovor evidentirati slabost, odnosno nepravilnost u Planu otklanjanja slabosti i nepravilnosti</w:t>
      </w:r>
    </w:p>
  </w:footnote>
  <w:footnote w:id="5">
    <w:p w:rsidR="005F3DDF" w:rsidRDefault="005F3DDF" w:rsidP="005F3DDF">
      <w:pPr>
        <w:pStyle w:val="Tekstfusnote"/>
      </w:pPr>
      <w:r w:rsidRPr="00020917">
        <w:rPr>
          <w:rStyle w:val="Referencafusnote"/>
        </w:rPr>
        <w:footnoteRef/>
      </w:r>
      <w:r w:rsidRPr="00020917"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  <w:footnote w:id="6">
    <w:p w:rsidR="005F3DDF" w:rsidRDefault="005F3DDF" w:rsidP="005F3DDF">
      <w:pPr>
        <w:pStyle w:val="Tekstfusnote"/>
      </w:pPr>
      <w:r w:rsidRPr="00020917">
        <w:rPr>
          <w:rStyle w:val="Referencafusnote"/>
        </w:rPr>
        <w:footnoteRef/>
      </w:r>
      <w:r w:rsidRPr="00020917">
        <w:t xml:space="preserve"> </w:t>
      </w:r>
      <w:r w:rsidRPr="00020917">
        <w:rPr>
          <w:rFonts w:ascii="Arial" w:hAnsi="Arial" w:cs="Arial"/>
          <w:lang w:val="hr-HR"/>
        </w:rPr>
        <w:t>Za svaki djelomično potvrdan odgovor evidentirati slabost, odnosno nepravilnost u Planu otklanjanja slabosti i nepravilnosti</w:t>
      </w:r>
    </w:p>
  </w:footnote>
  <w:footnote w:id="7">
    <w:p w:rsidR="005F3DDF" w:rsidRDefault="005F3DDF" w:rsidP="005F3DDF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  <w:footnote w:id="8">
    <w:p w:rsidR="005F3DDF" w:rsidRDefault="005F3DDF" w:rsidP="005F3DDF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djelomično potvrdan odgovor evidentirati slabost, odnosno nepravilnost u Planu otklanjanja slabosti i nepravilnosti</w:t>
      </w:r>
    </w:p>
  </w:footnote>
  <w:footnote w:id="9">
    <w:p w:rsidR="005F3DDF" w:rsidRDefault="005F3DDF" w:rsidP="005F3DD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EBB"/>
    <w:multiLevelType w:val="hybridMultilevel"/>
    <w:tmpl w:val="8F74FD66"/>
    <w:lvl w:ilvl="0" w:tplc="2B467A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C6CA9"/>
    <w:multiLevelType w:val="hybridMultilevel"/>
    <w:tmpl w:val="974EFCE4"/>
    <w:lvl w:ilvl="0" w:tplc="DAD019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3172FF"/>
    <w:multiLevelType w:val="hybridMultilevel"/>
    <w:tmpl w:val="590EEFC6"/>
    <w:lvl w:ilvl="0" w:tplc="9B269E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1D"/>
    <w:rsid w:val="0009387C"/>
    <w:rsid w:val="000C05AF"/>
    <w:rsid w:val="000C6F3F"/>
    <w:rsid w:val="000D03FF"/>
    <w:rsid w:val="000D1583"/>
    <w:rsid w:val="00116D9D"/>
    <w:rsid w:val="0016048A"/>
    <w:rsid w:val="0024695C"/>
    <w:rsid w:val="00290BCB"/>
    <w:rsid w:val="00294E1C"/>
    <w:rsid w:val="00295E3C"/>
    <w:rsid w:val="002C41F2"/>
    <w:rsid w:val="0032366C"/>
    <w:rsid w:val="00344636"/>
    <w:rsid w:val="003732B2"/>
    <w:rsid w:val="003A0B61"/>
    <w:rsid w:val="003C3556"/>
    <w:rsid w:val="003C771D"/>
    <w:rsid w:val="00486ED2"/>
    <w:rsid w:val="005C66C2"/>
    <w:rsid w:val="005F3DDF"/>
    <w:rsid w:val="005F4E51"/>
    <w:rsid w:val="00604C26"/>
    <w:rsid w:val="00643E8A"/>
    <w:rsid w:val="006A53B5"/>
    <w:rsid w:val="00752723"/>
    <w:rsid w:val="00786B77"/>
    <w:rsid w:val="00813BDE"/>
    <w:rsid w:val="009B2E49"/>
    <w:rsid w:val="009D25A8"/>
    <w:rsid w:val="00A96292"/>
    <w:rsid w:val="00AC6FD5"/>
    <w:rsid w:val="00AD1D57"/>
    <w:rsid w:val="00AF6753"/>
    <w:rsid w:val="00B501F2"/>
    <w:rsid w:val="00BC7640"/>
    <w:rsid w:val="00BD2DF6"/>
    <w:rsid w:val="00BE5A3C"/>
    <w:rsid w:val="00BE6230"/>
    <w:rsid w:val="00C40014"/>
    <w:rsid w:val="00C86E66"/>
    <w:rsid w:val="00CA21E5"/>
    <w:rsid w:val="00E279F7"/>
    <w:rsid w:val="00E377BD"/>
    <w:rsid w:val="00E65468"/>
    <w:rsid w:val="00E92359"/>
    <w:rsid w:val="00EA2CD2"/>
    <w:rsid w:val="00EC0C5B"/>
    <w:rsid w:val="00EF02EA"/>
    <w:rsid w:val="00F14D13"/>
    <w:rsid w:val="00F169D9"/>
    <w:rsid w:val="00F447BC"/>
    <w:rsid w:val="00F67B0E"/>
    <w:rsid w:val="00F756EE"/>
    <w:rsid w:val="00F922A5"/>
    <w:rsid w:val="00FA5FBB"/>
    <w:rsid w:val="00FE33CF"/>
    <w:rsid w:val="00FE438C"/>
    <w:rsid w:val="00FE4D1F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5B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1-9-sred">
    <w:name w:val="t-11-9-sred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uiPriority w:val="99"/>
    <w:rsid w:val="003C3556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3C3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uiPriority w:val="99"/>
    <w:rsid w:val="003C3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basedOn w:val="Zadanifontodlomka"/>
    <w:uiPriority w:val="99"/>
    <w:rsid w:val="003C3556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FE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E438C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5F3DDF"/>
  </w:style>
  <w:style w:type="numbering" w:customStyle="1" w:styleId="NoList1">
    <w:name w:val="No List1"/>
    <w:next w:val="Bezpopisa"/>
    <w:uiPriority w:val="99"/>
    <w:semiHidden/>
    <w:unhideWhenUsed/>
    <w:rsid w:val="005F3DDF"/>
  </w:style>
  <w:style w:type="character" w:styleId="Referencakomentara">
    <w:name w:val="annotation reference"/>
    <w:basedOn w:val="Zadanifontodlomka"/>
    <w:uiPriority w:val="99"/>
    <w:semiHidden/>
    <w:rsid w:val="005F3DDF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5F3D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3DDF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5F3D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DDF"/>
    <w:rPr>
      <w:rFonts w:ascii="Times New Roman" w:eastAsia="Times New Roman" w:hAnsi="Times New Roman"/>
      <w:b/>
      <w:bCs/>
      <w:sz w:val="20"/>
      <w:szCs w:val="20"/>
    </w:rPr>
  </w:style>
  <w:style w:type="character" w:styleId="Hiperveza">
    <w:name w:val="Hyperlink"/>
    <w:basedOn w:val="Zadanifontodlomka"/>
    <w:uiPriority w:val="99"/>
    <w:rsid w:val="005F3DDF"/>
    <w:rPr>
      <w:rFonts w:cs="Times New Roman"/>
      <w:color w:val="0000FF"/>
      <w:u w:val="single"/>
    </w:rPr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F3DD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F3DDF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Referencafusnote">
    <w:name w:val="footnote reference"/>
    <w:aliases w:val="BVI fnr"/>
    <w:basedOn w:val="Zadanifontodlomka"/>
    <w:uiPriority w:val="99"/>
    <w:rsid w:val="005F3DDF"/>
    <w:rPr>
      <w:rFonts w:cs="Times New Roman"/>
      <w:vertAlign w:val="superscript"/>
    </w:rPr>
  </w:style>
  <w:style w:type="paragraph" w:styleId="Podnoje">
    <w:name w:val="footer"/>
    <w:basedOn w:val="Normal"/>
    <w:link w:val="PodnojeChar"/>
    <w:uiPriority w:val="99"/>
    <w:rsid w:val="005F3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odnojeChar">
    <w:name w:val="Podnožje Char"/>
    <w:basedOn w:val="Zadanifontodlomka"/>
    <w:link w:val="Podnoje"/>
    <w:uiPriority w:val="99"/>
    <w:rsid w:val="005F3DDF"/>
    <w:rPr>
      <w:rFonts w:ascii="Times New Roman" w:eastAsia="Times New Roman" w:hAnsi="Times New Roman"/>
      <w:sz w:val="24"/>
      <w:szCs w:val="24"/>
      <w:lang w:eastAsia="ko-KR"/>
    </w:rPr>
  </w:style>
  <w:style w:type="character" w:styleId="Brojstranice">
    <w:name w:val="page number"/>
    <w:basedOn w:val="Zadanifontodlomka"/>
    <w:uiPriority w:val="99"/>
    <w:rsid w:val="005F3DDF"/>
    <w:rPr>
      <w:rFonts w:cs="Times New Roman"/>
    </w:rPr>
  </w:style>
  <w:style w:type="paragraph" w:customStyle="1" w:styleId="Revision1">
    <w:name w:val="Revision1"/>
    <w:hidden/>
    <w:uiPriority w:val="99"/>
    <w:semiHidden/>
    <w:rsid w:val="005F3DDF"/>
    <w:rPr>
      <w:rFonts w:eastAsia="Times New Roman"/>
      <w:lang w:eastAsia="en-US"/>
    </w:rPr>
  </w:style>
  <w:style w:type="paragraph" w:styleId="Zaglavlje">
    <w:name w:val="header"/>
    <w:basedOn w:val="Normal"/>
    <w:link w:val="ZaglavljeChar"/>
    <w:uiPriority w:val="99"/>
    <w:rsid w:val="005F3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ZaglavljeChar">
    <w:name w:val="Zaglavlje Char"/>
    <w:basedOn w:val="Zadanifontodlomka"/>
    <w:link w:val="Zaglavlje"/>
    <w:uiPriority w:val="99"/>
    <w:rsid w:val="005F3DDF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Zadanifontodlomka"/>
    <w:uiPriority w:val="99"/>
    <w:rsid w:val="005F3DDF"/>
    <w:rPr>
      <w:rFonts w:cs="Times New Roman"/>
    </w:rPr>
  </w:style>
  <w:style w:type="paragraph" w:customStyle="1" w:styleId="Odlomakpopisa1">
    <w:name w:val="Odlomak popisa1"/>
    <w:basedOn w:val="Normal"/>
    <w:next w:val="Odlomakpopisa"/>
    <w:uiPriority w:val="34"/>
    <w:qFormat/>
    <w:rsid w:val="005F3DDF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5F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5B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1-9-sred">
    <w:name w:val="t-11-9-sred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uiPriority w:val="99"/>
    <w:rsid w:val="003C3556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uiPriority w:val="99"/>
    <w:rsid w:val="003C35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3C3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uiPriority w:val="99"/>
    <w:rsid w:val="003C3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basedOn w:val="Zadanifontodlomka"/>
    <w:uiPriority w:val="99"/>
    <w:rsid w:val="003C3556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FE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E438C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5F3DDF"/>
  </w:style>
  <w:style w:type="numbering" w:customStyle="1" w:styleId="NoList1">
    <w:name w:val="No List1"/>
    <w:next w:val="Bezpopisa"/>
    <w:uiPriority w:val="99"/>
    <w:semiHidden/>
    <w:unhideWhenUsed/>
    <w:rsid w:val="005F3DDF"/>
  </w:style>
  <w:style w:type="character" w:styleId="Referencakomentara">
    <w:name w:val="annotation reference"/>
    <w:basedOn w:val="Zadanifontodlomka"/>
    <w:uiPriority w:val="99"/>
    <w:semiHidden/>
    <w:rsid w:val="005F3DDF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5F3D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3DDF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5F3D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DDF"/>
    <w:rPr>
      <w:rFonts w:ascii="Times New Roman" w:eastAsia="Times New Roman" w:hAnsi="Times New Roman"/>
      <w:b/>
      <w:bCs/>
      <w:sz w:val="20"/>
      <w:szCs w:val="20"/>
    </w:rPr>
  </w:style>
  <w:style w:type="character" w:styleId="Hiperveza">
    <w:name w:val="Hyperlink"/>
    <w:basedOn w:val="Zadanifontodlomka"/>
    <w:uiPriority w:val="99"/>
    <w:rsid w:val="005F3DDF"/>
    <w:rPr>
      <w:rFonts w:cs="Times New Roman"/>
      <w:color w:val="0000FF"/>
      <w:u w:val="single"/>
    </w:rPr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F3DD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F3DDF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Referencafusnote">
    <w:name w:val="footnote reference"/>
    <w:aliases w:val="BVI fnr"/>
    <w:basedOn w:val="Zadanifontodlomka"/>
    <w:uiPriority w:val="99"/>
    <w:rsid w:val="005F3DDF"/>
    <w:rPr>
      <w:rFonts w:cs="Times New Roman"/>
      <w:vertAlign w:val="superscript"/>
    </w:rPr>
  </w:style>
  <w:style w:type="paragraph" w:styleId="Podnoje">
    <w:name w:val="footer"/>
    <w:basedOn w:val="Normal"/>
    <w:link w:val="PodnojeChar"/>
    <w:uiPriority w:val="99"/>
    <w:rsid w:val="005F3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odnojeChar">
    <w:name w:val="Podnožje Char"/>
    <w:basedOn w:val="Zadanifontodlomka"/>
    <w:link w:val="Podnoje"/>
    <w:uiPriority w:val="99"/>
    <w:rsid w:val="005F3DDF"/>
    <w:rPr>
      <w:rFonts w:ascii="Times New Roman" w:eastAsia="Times New Roman" w:hAnsi="Times New Roman"/>
      <w:sz w:val="24"/>
      <w:szCs w:val="24"/>
      <w:lang w:eastAsia="ko-KR"/>
    </w:rPr>
  </w:style>
  <w:style w:type="character" w:styleId="Brojstranice">
    <w:name w:val="page number"/>
    <w:basedOn w:val="Zadanifontodlomka"/>
    <w:uiPriority w:val="99"/>
    <w:rsid w:val="005F3DDF"/>
    <w:rPr>
      <w:rFonts w:cs="Times New Roman"/>
    </w:rPr>
  </w:style>
  <w:style w:type="paragraph" w:customStyle="1" w:styleId="Revision1">
    <w:name w:val="Revision1"/>
    <w:hidden/>
    <w:uiPriority w:val="99"/>
    <w:semiHidden/>
    <w:rsid w:val="005F3DDF"/>
    <w:rPr>
      <w:rFonts w:eastAsia="Times New Roman"/>
      <w:lang w:eastAsia="en-US"/>
    </w:rPr>
  </w:style>
  <w:style w:type="paragraph" w:styleId="Zaglavlje">
    <w:name w:val="header"/>
    <w:basedOn w:val="Normal"/>
    <w:link w:val="ZaglavljeChar"/>
    <w:uiPriority w:val="99"/>
    <w:rsid w:val="005F3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ZaglavljeChar">
    <w:name w:val="Zaglavlje Char"/>
    <w:basedOn w:val="Zadanifontodlomka"/>
    <w:link w:val="Zaglavlje"/>
    <w:uiPriority w:val="99"/>
    <w:rsid w:val="005F3DDF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Zadanifontodlomka"/>
    <w:uiPriority w:val="99"/>
    <w:rsid w:val="005F3DDF"/>
    <w:rPr>
      <w:rFonts w:cs="Times New Roman"/>
    </w:rPr>
  </w:style>
  <w:style w:type="paragraph" w:customStyle="1" w:styleId="Odlomakpopisa1">
    <w:name w:val="Odlomak popisa1"/>
    <w:basedOn w:val="Normal"/>
    <w:next w:val="Odlomakpopisa"/>
    <w:uiPriority w:val="34"/>
    <w:qFormat/>
    <w:rsid w:val="005F3DDF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5F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630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5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55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55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55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55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5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55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552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552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55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552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552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52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552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552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2552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552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552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255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2552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25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2552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26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3AAE-5CFF-4954-A019-5C02C2A2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3748</Words>
  <Characters>25000</Characters>
  <Application>Microsoft Office Word</Application>
  <DocSecurity>0</DocSecurity>
  <Lines>208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/>
  <LinksUpToDate>false</LinksUpToDate>
  <CharactersWithSpaces>28691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mfkor</dc:creator>
  <cp:lastModifiedBy>mfkor</cp:lastModifiedBy>
  <cp:revision>2</cp:revision>
  <cp:lastPrinted>2015-10-19T08:19:00Z</cp:lastPrinted>
  <dcterms:created xsi:type="dcterms:W3CDTF">2015-11-05T11:04:00Z</dcterms:created>
  <dcterms:modified xsi:type="dcterms:W3CDTF">2015-11-05T11:04:00Z</dcterms:modified>
</cp:coreProperties>
</file>