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34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156175348" name="Picture"/>
                  <a:graphic>
                    <a:graphicData uri="http://schemas.openxmlformats.org/drawingml/2006/picture">
                      <pic:pic>
                        <pic:nvPicPr>
                          <pic:cNvPr id="156175348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OPĆINA LIŠANE OSTROVIČKE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OPĆINE LIŠANE OSTROVIČKE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LIŠANE OSTROVIČKE,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Općinsko izborno povjerenstvo OPĆINE LIŠANE OSTROVIČKE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OPĆINE LIŠANE OSTROVIČKE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OPĆINE LIŠANE OSTROVIČKE</w:t>
            </w:r>
            <w:r>
              <w:rPr>
                <w:rFonts w:ascii="Arial" w:hAnsi="Arial" w:eastAsia="Arial" w:cs="Arial"/>
                <w:sz w:val="22.0"/>
              </w:rPr>
              <w:t xml:space="preserve"> određuje se biračko mjesto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LIŠANE OSTROVIČKE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OPĆINA LIŠANE OSTROVIČKE, LIŠANE OSTROVIČKE, BRAŠTINA B.B.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Općini LIŠANE OSTROVIČKE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IVAN VOLIĆ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