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86" w:rsidRDefault="00504138" w:rsidP="00F742DA">
      <w:pPr>
        <w:pStyle w:val="Opisslike"/>
        <w:jc w:val="center"/>
        <w:rPr>
          <w:rFonts w:ascii="Arial Narrow" w:hAnsi="Arial Narrow"/>
          <w:sz w:val="24"/>
          <w:szCs w:val="24"/>
        </w:rPr>
      </w:pPr>
      <w:bookmarkStart w:id="0" w:name="_Toc468978617"/>
      <w:r>
        <w:rPr>
          <w:rFonts w:ascii="Arial Narrow" w:hAnsi="Arial Narrow"/>
          <w:sz w:val="24"/>
          <w:szCs w:val="24"/>
        </w:rPr>
        <w:t xml:space="preserve"> </w:t>
      </w:r>
      <w:r w:rsidR="005B0986" w:rsidRPr="00F742DA">
        <w:rPr>
          <w:rFonts w:ascii="Arial Narrow" w:hAnsi="Arial Narrow"/>
          <w:sz w:val="24"/>
          <w:szCs w:val="24"/>
        </w:rPr>
        <w:t>Obrazac Izvješća o savjetovanju s javnošću</w:t>
      </w:r>
      <w:bookmarkEnd w:id="0"/>
    </w:p>
    <w:p w:rsidR="00F742DA" w:rsidRPr="00F742DA" w:rsidRDefault="00F742DA" w:rsidP="00F742D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5301"/>
      </w:tblGrid>
      <w:tr w:rsidR="005B0986" w:rsidRPr="00380E25" w:rsidTr="00941D1C">
        <w:trPr>
          <w:trHeight w:val="719"/>
        </w:trPr>
        <w:tc>
          <w:tcPr>
            <w:tcW w:w="9243" w:type="dxa"/>
            <w:gridSpan w:val="2"/>
            <w:tcBorders>
              <w:bottom w:val="single" w:sz="4" w:space="0" w:color="365F91"/>
            </w:tcBorders>
            <w:shd w:val="clear" w:color="auto" w:fill="B8CCE4"/>
            <w:vAlign w:val="center"/>
          </w:tcPr>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sidR="005A2ED8" w:rsidRPr="005A2ED8">
              <w:rPr>
                <w:rFonts w:ascii="Arial Narrow" w:hAnsi="Arial Narrow" w:cs="Times New Roman"/>
                <w:b/>
                <w:bCs/>
                <w:sz w:val="20"/>
                <w:szCs w:val="20"/>
              </w:rPr>
              <w:t>Nacrt</w:t>
            </w:r>
            <w:r w:rsidR="00CA7E1B">
              <w:rPr>
                <w:rFonts w:ascii="Arial Narrow" w:hAnsi="Arial Narrow" w:cs="Times New Roman"/>
                <w:b/>
                <w:bCs/>
                <w:sz w:val="20"/>
                <w:szCs w:val="20"/>
              </w:rPr>
              <w:t>a</w:t>
            </w:r>
            <w:r w:rsidR="005A2ED8" w:rsidRPr="005A2ED8">
              <w:rPr>
                <w:rFonts w:ascii="Arial Narrow" w:hAnsi="Arial Narrow" w:cs="Times New Roman"/>
                <w:b/>
                <w:bCs/>
                <w:sz w:val="20"/>
                <w:szCs w:val="20"/>
              </w:rPr>
              <w:t xml:space="preserve"> prijedloga Proračuna Zadarske županije za 2023. godinu i projekcija za 2024. i 2025. godinu</w:t>
            </w:r>
          </w:p>
          <w:p w:rsidR="005B0986" w:rsidRPr="00380E25" w:rsidRDefault="005B0986" w:rsidP="00941D1C">
            <w:pPr>
              <w:spacing w:after="0" w:line="240" w:lineRule="auto"/>
              <w:jc w:val="center"/>
              <w:rPr>
                <w:rFonts w:ascii="Arial Narrow" w:hAnsi="Arial Narrow" w:cs="Times New Roman"/>
                <w:b/>
                <w:bCs/>
                <w:sz w:val="20"/>
                <w:szCs w:val="20"/>
              </w:rPr>
            </w:pPr>
          </w:p>
          <w:p w:rsidR="005B0986" w:rsidRPr="00380E25" w:rsidRDefault="00025A5B"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 xml:space="preserve">Zadarska županija, </w:t>
            </w:r>
            <w:r w:rsidR="00734382">
              <w:rPr>
                <w:rFonts w:ascii="Arial Narrow" w:hAnsi="Arial Narrow" w:cs="Times New Roman"/>
                <w:b/>
                <w:bCs/>
                <w:sz w:val="20"/>
                <w:szCs w:val="20"/>
              </w:rPr>
              <w:t>Upravni odjel za financije i proračun</w:t>
            </w:r>
            <w:r w:rsidR="005B0986" w:rsidRPr="00380E25">
              <w:rPr>
                <w:rFonts w:ascii="Arial Narrow" w:hAnsi="Arial Narrow" w:cs="Times New Roman"/>
                <w:b/>
                <w:bCs/>
                <w:sz w:val="20"/>
                <w:szCs w:val="20"/>
              </w:rPr>
              <w:t xml:space="preserve">: </w:t>
            </w:r>
          </w:p>
          <w:p w:rsidR="005B0986" w:rsidRPr="00380E25" w:rsidRDefault="00354B15"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Zadar, 14</w:t>
            </w:r>
            <w:r w:rsidR="00734382">
              <w:rPr>
                <w:rFonts w:ascii="Arial Narrow" w:hAnsi="Arial Narrow" w:cs="Times New Roman"/>
                <w:b/>
                <w:bCs/>
                <w:sz w:val="20"/>
                <w:szCs w:val="20"/>
              </w:rPr>
              <w:t>. studenoga 2022. godine</w:t>
            </w:r>
          </w:p>
          <w:p w:rsidR="005B0986" w:rsidRPr="00380E25" w:rsidRDefault="005B0986" w:rsidP="00941D1C">
            <w:pPr>
              <w:spacing w:after="0" w:line="240" w:lineRule="auto"/>
              <w:jc w:val="center"/>
              <w:rPr>
                <w:rFonts w:ascii="Arial Narrow" w:hAnsi="Arial Narrow" w:cs="Times New Roman"/>
                <w:b/>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A2ED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Nacrt</w:t>
            </w:r>
            <w:r w:rsidRPr="005A2ED8">
              <w:rPr>
                <w:rFonts w:ascii="Arial Narrow" w:hAnsi="Arial Narrow" w:cs="Times New Roman"/>
                <w:bCs/>
                <w:sz w:val="20"/>
                <w:szCs w:val="20"/>
              </w:rPr>
              <w:t xml:space="preserve"> prijedloga Proračuna Zadarske županije za 2023. godinu i projekcija za 2024. i 2025. godinu</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A2ED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Upravni odjel za financije i proračun</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380E25" w:rsidRDefault="00136105" w:rsidP="00941D1C">
            <w:pPr>
              <w:spacing w:after="120" w:line="240" w:lineRule="auto"/>
              <w:jc w:val="both"/>
              <w:rPr>
                <w:rFonts w:ascii="Arial Narrow" w:hAnsi="Arial Narrow" w:cs="Times New Roman"/>
                <w:bCs/>
                <w:sz w:val="20"/>
                <w:szCs w:val="20"/>
              </w:rPr>
            </w:pPr>
            <w:r w:rsidRPr="00136105">
              <w:rPr>
                <w:rFonts w:ascii="Arial Narrow" w:hAnsi="Arial Narrow" w:cs="Times New Roman"/>
                <w:bCs/>
                <w:sz w:val="20"/>
                <w:szCs w:val="20"/>
              </w:rPr>
              <w:t>Zakonom o proračunu („Narodne novine“ broj 144/21.) propisano je predlaganje i donošenje proračuna kao temeljnog financijskog akta jedinice regionalne samouprave.</w:t>
            </w:r>
            <w:r>
              <w:rPr>
                <w:rFonts w:ascii="Arial Narrow" w:hAnsi="Arial Narrow" w:cs="Times New Roman"/>
                <w:bCs/>
                <w:sz w:val="20"/>
                <w:szCs w:val="20"/>
              </w:rPr>
              <w:t xml:space="preserve"> </w:t>
            </w:r>
            <w:r w:rsidRPr="00136105">
              <w:rPr>
                <w:rFonts w:ascii="Arial Narrow" w:hAnsi="Arial Narrow" w:cs="Times New Roman"/>
                <w:bCs/>
                <w:sz w:val="20"/>
                <w:szCs w:val="20"/>
              </w:rPr>
              <w:t xml:space="preserve">Nacrt prijedloga Proračuna Zadarske županije za 2023. i projekcija za 2024. i 2025. godinu predstavlja planski dokument kojima se utječe na interese građana i pravnih osoba. </w:t>
            </w:r>
          </w:p>
        </w:tc>
      </w:tr>
      <w:tr w:rsidR="005B0986" w:rsidRPr="00380E25"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sidR="00F742DA">
              <w:rPr>
                <w:rFonts w:ascii="Arial Narrow" w:hAnsi="Arial Narrow" w:cs="Times New Roman"/>
                <w:b/>
                <w:bCs/>
                <w:sz w:val="20"/>
                <w:szCs w:val="20"/>
              </w:rPr>
              <w:t xml:space="preserve"> </w:t>
            </w:r>
          </w:p>
          <w:p w:rsidR="00F742DA" w:rsidRPr="00380E25" w:rsidRDefault="00F742DA"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136105" w:rsidP="001907B5">
            <w:pPr>
              <w:spacing w:after="120" w:line="240" w:lineRule="auto"/>
              <w:rPr>
                <w:rFonts w:ascii="Arial Narrow" w:hAnsi="Arial Narrow" w:cs="Times New Roman"/>
                <w:bCs/>
                <w:sz w:val="20"/>
                <w:szCs w:val="20"/>
              </w:rPr>
            </w:pPr>
            <w:r w:rsidRPr="00136105">
              <w:rPr>
                <w:rFonts w:ascii="Arial Narrow" w:hAnsi="Arial Narrow" w:cs="Times New Roman"/>
                <w:bCs/>
                <w:sz w:val="20"/>
                <w:szCs w:val="20"/>
              </w:rPr>
              <w:t>https://www.zadarska-zupanija.hr/savjetovanja-u-tijeku-menu</w:t>
            </w:r>
            <w:r w:rsidR="005B0986" w:rsidRPr="00380E25">
              <w:rPr>
                <w:rFonts w:ascii="Arial Narrow" w:hAnsi="Arial Narrow" w:cs="Times New Roman"/>
                <w:bCs/>
                <w:sz w:val="20"/>
                <w:szCs w:val="20"/>
              </w:rPr>
              <w:t xml:space="preserve"> </w:t>
            </w:r>
          </w:p>
        </w:tc>
      </w:tr>
      <w:tr w:rsidR="005B0986" w:rsidRPr="00380E25"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F742DA" w:rsidRDefault="00136105"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03.11.2022. do 13.11.2022.</w:t>
            </w:r>
          </w:p>
          <w:p w:rsidR="005B0986" w:rsidRPr="00380E25" w:rsidRDefault="00136105" w:rsidP="001907B5">
            <w:pPr>
              <w:spacing w:after="120" w:line="240" w:lineRule="auto"/>
              <w:rPr>
                <w:rFonts w:ascii="Arial Narrow" w:hAnsi="Arial Narrow" w:cs="Times New Roman"/>
                <w:bCs/>
                <w:sz w:val="20"/>
                <w:szCs w:val="20"/>
              </w:rPr>
            </w:pPr>
            <w:r w:rsidRPr="00136105">
              <w:rPr>
                <w:rFonts w:ascii="Arial Narrow" w:hAnsi="Arial Narrow" w:cs="Times New Roman"/>
                <w:bCs/>
                <w:sz w:val="20"/>
                <w:szCs w:val="20"/>
              </w:rPr>
              <w:t xml:space="preserve">Razlog skraćenog razdoblja javnog savjetovanja proizlazi iz kašnjenja u dostavi Uputa Ministarstva financija za izradu proračuna jedinica regionalne samouprave koje predstavlja osnovu za izradu akta, povezanosti izrade proračuna s odlukama upravljačkih tijela proračunskih korisnika te poštivanja zakonski definiranih rokova u postupku donošenja proračuna. </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D80619" w:rsidP="00D80619">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Zaprimljena je jedna primjedba, a glasi: </w:t>
            </w:r>
            <w:r w:rsidR="00354B15" w:rsidRPr="00354B15">
              <w:rPr>
                <w:rFonts w:ascii="Arial Narrow" w:hAnsi="Arial Narrow" w:cs="Times New Roman"/>
                <w:b/>
                <w:bCs/>
                <w:sz w:val="20"/>
                <w:szCs w:val="20"/>
              </w:rPr>
              <w:t>„</w:t>
            </w:r>
            <w:r w:rsidRPr="00354B15">
              <w:rPr>
                <w:rFonts w:ascii="Arial Narrow" w:hAnsi="Arial Narrow" w:cs="Times New Roman"/>
                <w:b/>
                <w:bCs/>
                <w:sz w:val="20"/>
                <w:szCs w:val="20"/>
              </w:rPr>
              <w:t xml:space="preserve">Predlažem da se u proračunu za narednu 2023. godinu osiguraju sredstva za ostvarivanje preduvjeta za uvođenje građanskog odgoja u osnovne škole </w:t>
            </w:r>
            <w:r w:rsidR="00354B15" w:rsidRPr="00354B15">
              <w:rPr>
                <w:rFonts w:ascii="Arial Narrow" w:hAnsi="Arial Narrow" w:cs="Times New Roman"/>
                <w:b/>
                <w:bCs/>
                <w:sz w:val="20"/>
                <w:szCs w:val="20"/>
              </w:rPr>
              <w:t>kojima je Zadarska županija osnivač te u srednje škole na području naše županije. Potrebna sredstva bi se utrošila na edukaciju nastavnika koji bi provodili nastavu građanskog odgoja. Potrebna sredstva iznose 30.000,00 eura za osnovne škole, te 30.000,00 eura za srednje škole.“</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354B15" w:rsidRPr="00354B15" w:rsidRDefault="00D80619" w:rsidP="00354B15">
            <w:pPr>
              <w:spacing w:after="120" w:line="240" w:lineRule="auto"/>
              <w:rPr>
                <w:rFonts w:ascii="Arial Narrow" w:hAnsi="Arial Narrow"/>
                <w:bCs/>
                <w:sz w:val="20"/>
                <w:szCs w:val="20"/>
              </w:rPr>
            </w:pPr>
            <w:r>
              <w:rPr>
                <w:rFonts w:ascii="Arial Narrow" w:hAnsi="Arial Narrow" w:cs="Times New Roman"/>
                <w:bCs/>
                <w:sz w:val="20"/>
                <w:szCs w:val="20"/>
              </w:rPr>
              <w:t xml:space="preserve">Primjedba nije prihvaćena iz </w:t>
            </w:r>
            <w:r w:rsidR="00354B15">
              <w:rPr>
                <w:rFonts w:ascii="Arial Narrow" w:hAnsi="Arial Narrow" w:cs="Times New Roman"/>
                <w:bCs/>
                <w:sz w:val="20"/>
                <w:szCs w:val="20"/>
              </w:rPr>
              <w:t xml:space="preserve">sljedećeg razloga: </w:t>
            </w:r>
            <w:r w:rsidR="00354B15" w:rsidRPr="00354B15">
              <w:rPr>
                <w:rFonts w:ascii="Arial Narrow" w:hAnsi="Arial Narrow"/>
                <w:bCs/>
                <w:sz w:val="20"/>
                <w:szCs w:val="20"/>
              </w:rPr>
              <w:t xml:space="preserve">Građanski odgoj se već provodi kao obvezna </w:t>
            </w:r>
            <w:proofErr w:type="spellStart"/>
            <w:r w:rsidR="00354B15" w:rsidRPr="00354B15">
              <w:rPr>
                <w:rFonts w:ascii="Arial Narrow" w:hAnsi="Arial Narrow"/>
                <w:bCs/>
                <w:sz w:val="20"/>
                <w:szCs w:val="20"/>
              </w:rPr>
              <w:t>međupredmetna</w:t>
            </w:r>
            <w:proofErr w:type="spellEnd"/>
            <w:r w:rsidR="00354B15" w:rsidRPr="00354B15">
              <w:rPr>
                <w:rFonts w:ascii="Arial Narrow" w:hAnsi="Arial Narrow"/>
                <w:bCs/>
                <w:sz w:val="20"/>
                <w:szCs w:val="20"/>
              </w:rPr>
              <w:t xml:space="preserve"> tema u svim osnovnim i srednjim školama u </w:t>
            </w:r>
            <w:proofErr w:type="spellStart"/>
            <w:r w:rsidR="00354B15" w:rsidRPr="00354B15">
              <w:rPr>
                <w:rFonts w:ascii="Arial Narrow" w:hAnsi="Arial Narrow"/>
                <w:bCs/>
                <w:sz w:val="20"/>
                <w:szCs w:val="20"/>
              </w:rPr>
              <w:t>Repubici</w:t>
            </w:r>
            <w:proofErr w:type="spellEnd"/>
            <w:r w:rsidR="00354B15" w:rsidRPr="00354B15">
              <w:rPr>
                <w:rFonts w:ascii="Arial Narrow" w:hAnsi="Arial Narrow"/>
                <w:bCs/>
                <w:sz w:val="20"/>
                <w:szCs w:val="20"/>
              </w:rPr>
              <w:t xml:space="preserve"> Hrvatskoj.</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 xml:space="preserve">Odluka o donošenju kurikuluma za </w:t>
            </w:r>
            <w:proofErr w:type="spellStart"/>
            <w:r w:rsidRPr="00354B15">
              <w:rPr>
                <w:rFonts w:ascii="Arial Narrow" w:hAnsi="Arial Narrow" w:cs="Times New Roman"/>
                <w:bCs/>
                <w:sz w:val="20"/>
                <w:szCs w:val="20"/>
              </w:rPr>
              <w:t>međupredmetnu</w:t>
            </w:r>
            <w:proofErr w:type="spellEnd"/>
            <w:r w:rsidRPr="00354B15">
              <w:rPr>
                <w:rFonts w:ascii="Arial Narrow" w:hAnsi="Arial Narrow" w:cs="Times New Roman"/>
                <w:bCs/>
                <w:sz w:val="20"/>
                <w:szCs w:val="20"/>
              </w:rPr>
              <w:t xml:space="preserve"> temu „Građanski odgoj i obrazovanje za osnovne i srednje škole u Republici Hrvatskoj“ objavljena je u „Narodnim novinama“ broj 10 u 2019. godini.</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Provode ga zaposlenici školskih ustanova, za čije se plaće sredstva osiguravaju u državnom proračunu.</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 Kurikulum ima pet osnovnih elemenata:</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 xml:space="preserve">1. Svrha i opis </w:t>
            </w:r>
            <w:proofErr w:type="spellStart"/>
            <w:r w:rsidRPr="00354B15">
              <w:rPr>
                <w:rFonts w:ascii="Arial Narrow" w:hAnsi="Arial Narrow" w:cs="Times New Roman"/>
                <w:bCs/>
                <w:sz w:val="20"/>
                <w:szCs w:val="20"/>
              </w:rPr>
              <w:t>međupredmetne</w:t>
            </w:r>
            <w:proofErr w:type="spellEnd"/>
            <w:r w:rsidRPr="00354B15">
              <w:rPr>
                <w:rFonts w:ascii="Arial Narrow" w:hAnsi="Arial Narrow" w:cs="Times New Roman"/>
                <w:bCs/>
                <w:sz w:val="20"/>
                <w:szCs w:val="20"/>
              </w:rPr>
              <w:t xml:space="preserve"> teme</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2. Odgojno-obrazovni ciljevi učenja i podučavanja</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 xml:space="preserve">3. Domene kurikuluma – </w:t>
            </w:r>
            <w:proofErr w:type="spellStart"/>
            <w:r w:rsidRPr="00354B15">
              <w:rPr>
                <w:rFonts w:ascii="Arial Narrow" w:hAnsi="Arial Narrow" w:cs="Times New Roman"/>
                <w:bCs/>
                <w:sz w:val="20"/>
                <w:szCs w:val="20"/>
              </w:rPr>
              <w:t>međupredmente</w:t>
            </w:r>
            <w:proofErr w:type="spellEnd"/>
            <w:r w:rsidRPr="00354B15">
              <w:rPr>
                <w:rFonts w:ascii="Arial Narrow" w:hAnsi="Arial Narrow" w:cs="Times New Roman"/>
                <w:bCs/>
                <w:sz w:val="20"/>
                <w:szCs w:val="20"/>
              </w:rPr>
              <w:t xml:space="preserve"> teme</w:t>
            </w:r>
          </w:p>
          <w:p w:rsidR="00354B15" w:rsidRPr="00354B15" w:rsidRDefault="00354B15" w:rsidP="00354B1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4. Odgojno-obrazovna očekivanja po odgojno-obrazovnim ciklusima i domenama te ključni sadržaji</w:t>
            </w:r>
          </w:p>
          <w:p w:rsidR="005B0986" w:rsidRPr="00380E25" w:rsidRDefault="00354B15" w:rsidP="001907B5">
            <w:pPr>
              <w:spacing w:after="120" w:line="240" w:lineRule="auto"/>
              <w:rPr>
                <w:rFonts w:ascii="Arial Narrow" w:hAnsi="Arial Narrow" w:cs="Times New Roman"/>
                <w:bCs/>
                <w:sz w:val="20"/>
                <w:szCs w:val="20"/>
              </w:rPr>
            </w:pPr>
            <w:r w:rsidRPr="00354B15">
              <w:rPr>
                <w:rFonts w:ascii="Arial Narrow" w:hAnsi="Arial Narrow" w:cs="Times New Roman"/>
                <w:bCs/>
                <w:sz w:val="20"/>
                <w:szCs w:val="20"/>
              </w:rPr>
              <w:t xml:space="preserve">5. Učenje i poučavanje </w:t>
            </w:r>
            <w:proofErr w:type="spellStart"/>
            <w:r w:rsidRPr="00354B15">
              <w:rPr>
                <w:rFonts w:ascii="Arial Narrow" w:hAnsi="Arial Narrow" w:cs="Times New Roman"/>
                <w:bCs/>
                <w:sz w:val="20"/>
                <w:szCs w:val="20"/>
              </w:rPr>
              <w:t>međupredmetne</w:t>
            </w:r>
            <w:proofErr w:type="spellEnd"/>
            <w:r w:rsidRPr="00354B15">
              <w:rPr>
                <w:rFonts w:ascii="Arial Narrow" w:hAnsi="Arial Narrow" w:cs="Times New Roman"/>
                <w:bCs/>
                <w:sz w:val="20"/>
                <w:szCs w:val="20"/>
              </w:rPr>
              <w:t xml:space="preserve"> teme</w:t>
            </w:r>
            <w:r w:rsidR="00F42654">
              <w:rPr>
                <w:rFonts w:ascii="Arial Narrow" w:hAnsi="Arial Narrow" w:cs="Times New Roman"/>
                <w:bCs/>
                <w:sz w:val="20"/>
                <w:szCs w:val="20"/>
              </w:rPr>
              <w:t>.</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354B15"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Nema.</w:t>
            </w:r>
          </w:p>
          <w:p w:rsidR="00710D22" w:rsidRPr="00380E25" w:rsidRDefault="00710D22" w:rsidP="001907B5">
            <w:pPr>
              <w:spacing w:after="120" w:line="240" w:lineRule="auto"/>
              <w:rPr>
                <w:rFonts w:ascii="Arial Narrow" w:hAnsi="Arial Narrow" w:cs="Times New Roman"/>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380E25" w:rsidRDefault="005B0986"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w:t>
            </w:r>
            <w:r w:rsidR="00724877">
              <w:rPr>
                <w:rFonts w:ascii="Arial Narrow" w:hAnsi="Arial Narrow" w:cs="Times New Roman"/>
                <w:bCs/>
                <w:sz w:val="20"/>
                <w:szCs w:val="20"/>
              </w:rPr>
              <w:t>0,00 HRK</w:t>
            </w:r>
          </w:p>
        </w:tc>
      </w:tr>
    </w:tbl>
    <w:p w:rsidR="00E738EC" w:rsidRDefault="00E738EC" w:rsidP="00E738EC">
      <w:pPr>
        <w:rPr>
          <w:rFonts w:ascii="Calibri" w:eastAsia="Calibri" w:hAnsi="Calibri" w:cs="Times New Roman"/>
          <w:b/>
          <w:bCs/>
          <w:sz w:val="20"/>
          <w:szCs w:val="20"/>
          <w:lang w:eastAsia="en-US"/>
        </w:rPr>
      </w:pPr>
      <w:bookmarkStart w:id="1" w:name="_Toc468978618"/>
    </w:p>
    <w:p w:rsidR="00E738EC" w:rsidRPr="00E738EC" w:rsidRDefault="00E738EC" w:rsidP="00E738EC">
      <w:pPr>
        <w:rPr>
          <w:rFonts w:ascii="Arial Narrow" w:eastAsia="Calibri" w:hAnsi="Arial Narrow" w:cs="Times New Roman"/>
          <w:b/>
          <w:bCs/>
          <w:sz w:val="20"/>
          <w:szCs w:val="20"/>
          <w:lang w:eastAsia="en-US"/>
        </w:rPr>
      </w:pPr>
      <w:r w:rsidRPr="00E738EC">
        <w:rPr>
          <w:rFonts w:ascii="Arial Narrow" w:eastAsia="Calibri" w:hAnsi="Arial Narrow" w:cs="Times New Roman"/>
          <w:b/>
          <w:bCs/>
          <w:sz w:val="20"/>
          <w:szCs w:val="20"/>
          <w:lang w:eastAsia="en-US"/>
        </w:rPr>
        <w:t>Prilog 1. Pregled prihvaćenih i neprihvaćenih primjedbi</w:t>
      </w:r>
      <w:bookmarkEnd w:id="1"/>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984"/>
        <w:gridCol w:w="2046"/>
        <w:gridCol w:w="2632"/>
      </w:tblGrid>
      <w:tr w:rsidR="00E738EC" w:rsidRPr="00E738EC" w:rsidTr="00941D1C">
        <w:tc>
          <w:tcPr>
            <w:tcW w:w="773"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Redni broj</w:t>
            </w:r>
          </w:p>
        </w:tc>
        <w:tc>
          <w:tcPr>
            <w:tcW w:w="1887"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Sudionik savjetovanja (ime i prezime pojedinca, naziv organizacije)</w:t>
            </w:r>
          </w:p>
        </w:tc>
        <w:tc>
          <w:tcPr>
            <w:tcW w:w="1984"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Članak ili drugi dio nacrta na koji se odnosi prijedlog ili mišljenje</w:t>
            </w:r>
          </w:p>
        </w:tc>
        <w:tc>
          <w:tcPr>
            <w:tcW w:w="2046"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Tekst zaprimljenog prijedloga ili mišljenja</w:t>
            </w:r>
          </w:p>
        </w:tc>
        <w:tc>
          <w:tcPr>
            <w:tcW w:w="2632" w:type="dxa"/>
            <w:vAlign w:val="center"/>
          </w:tcPr>
          <w:p w:rsidR="00E738EC" w:rsidRPr="00E738EC" w:rsidRDefault="00E738EC" w:rsidP="001907B5">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 xml:space="preserve">Status prijedloga ili mišljenja (prihvaćanje/neprihvaćanje s  obrazloženjem) </w:t>
            </w:r>
          </w:p>
        </w:tc>
      </w:tr>
      <w:tr w:rsidR="00E738EC" w:rsidRPr="00E738EC" w:rsidTr="00941D1C">
        <w:trPr>
          <w:trHeight w:val="567"/>
        </w:trPr>
        <w:tc>
          <w:tcPr>
            <w:tcW w:w="773" w:type="dxa"/>
          </w:tcPr>
          <w:p w:rsidR="00E738EC" w:rsidRPr="00E738EC" w:rsidRDefault="00354B15"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1.</w:t>
            </w:r>
          </w:p>
        </w:tc>
        <w:tc>
          <w:tcPr>
            <w:tcW w:w="1887" w:type="dxa"/>
          </w:tcPr>
          <w:p w:rsidR="00E738EC" w:rsidRPr="00E738EC" w:rsidRDefault="00B025A7"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Jure Zubčić, vijećnik županijske skupštine Zadarske županije</w:t>
            </w:r>
          </w:p>
        </w:tc>
        <w:tc>
          <w:tcPr>
            <w:tcW w:w="1984" w:type="dxa"/>
          </w:tcPr>
          <w:p w:rsidR="00E738EC" w:rsidRPr="00E738EC" w:rsidRDefault="00D23A9F"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Nije specificirano.</w:t>
            </w:r>
            <w:bookmarkStart w:id="2" w:name="_GoBack"/>
            <w:bookmarkEnd w:id="2"/>
          </w:p>
        </w:tc>
        <w:tc>
          <w:tcPr>
            <w:tcW w:w="2046" w:type="dxa"/>
          </w:tcPr>
          <w:p w:rsidR="00E738EC" w:rsidRPr="00E738EC" w:rsidRDefault="00C95123" w:rsidP="00E738EC">
            <w:pPr>
              <w:spacing w:after="120" w:line="240" w:lineRule="auto"/>
              <w:jc w:val="both"/>
              <w:rPr>
                <w:rFonts w:ascii="Arial Narrow" w:hAnsi="Arial Narrow" w:cs="Times New Roman"/>
                <w:sz w:val="20"/>
                <w:szCs w:val="20"/>
              </w:rPr>
            </w:pPr>
            <w:r w:rsidRPr="00C95123">
              <w:rPr>
                <w:rFonts w:ascii="Arial Narrow" w:hAnsi="Arial Narrow" w:cs="Times New Roman"/>
                <w:b/>
                <w:bCs/>
                <w:sz w:val="20"/>
                <w:szCs w:val="20"/>
              </w:rPr>
              <w:t>„Predlažem da se u proračunu za narednu 2023. godinu osiguraju sredstva za ostvarivanje preduvjeta za uvođenje građanskog odgoja u osnovne škole kojima je Zadarska županija osnivač te u srednje škole na području naše županije. Potrebna sredstva bi se utrošila na edukaciju nastavnika koji bi provodili nastavu građanskog odgoja. Potrebna sredstva iznose 30.000,00 eura za osnovne škole, te 30.000,00 eura za srednje škole.“</w:t>
            </w:r>
          </w:p>
        </w:tc>
        <w:tc>
          <w:tcPr>
            <w:tcW w:w="2632" w:type="dxa"/>
          </w:tcPr>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 xml:space="preserve">Primjedba nije prihvaćena iz sljedećeg razloga: Građanski odgoj se već provodi kao obvezna </w:t>
            </w:r>
            <w:proofErr w:type="spellStart"/>
            <w:r w:rsidRPr="00C95123">
              <w:rPr>
                <w:rFonts w:ascii="Arial Narrow" w:hAnsi="Arial Narrow" w:cs="Times New Roman"/>
                <w:bCs/>
                <w:sz w:val="20"/>
                <w:szCs w:val="20"/>
              </w:rPr>
              <w:t>međupredmetna</w:t>
            </w:r>
            <w:proofErr w:type="spellEnd"/>
            <w:r w:rsidRPr="00C95123">
              <w:rPr>
                <w:rFonts w:ascii="Arial Narrow" w:hAnsi="Arial Narrow" w:cs="Times New Roman"/>
                <w:bCs/>
                <w:sz w:val="20"/>
                <w:szCs w:val="20"/>
              </w:rPr>
              <w:t xml:space="preserve"> tema u svim osnovnim i srednjim školama u </w:t>
            </w:r>
            <w:proofErr w:type="spellStart"/>
            <w:r w:rsidRPr="00C95123">
              <w:rPr>
                <w:rFonts w:ascii="Arial Narrow" w:hAnsi="Arial Narrow" w:cs="Times New Roman"/>
                <w:bCs/>
                <w:sz w:val="20"/>
                <w:szCs w:val="20"/>
              </w:rPr>
              <w:t>Repubici</w:t>
            </w:r>
            <w:proofErr w:type="spellEnd"/>
            <w:r w:rsidRPr="00C95123">
              <w:rPr>
                <w:rFonts w:ascii="Arial Narrow" w:hAnsi="Arial Narrow" w:cs="Times New Roman"/>
                <w:bCs/>
                <w:sz w:val="20"/>
                <w:szCs w:val="20"/>
              </w:rPr>
              <w:t xml:space="preserve"> Hrvatskoj.</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 xml:space="preserve">Odluka o donošenju kurikuluma za </w:t>
            </w:r>
            <w:proofErr w:type="spellStart"/>
            <w:r w:rsidRPr="00C95123">
              <w:rPr>
                <w:rFonts w:ascii="Arial Narrow" w:hAnsi="Arial Narrow" w:cs="Times New Roman"/>
                <w:bCs/>
                <w:sz w:val="20"/>
                <w:szCs w:val="20"/>
              </w:rPr>
              <w:t>međupredmetnu</w:t>
            </w:r>
            <w:proofErr w:type="spellEnd"/>
            <w:r w:rsidRPr="00C95123">
              <w:rPr>
                <w:rFonts w:ascii="Arial Narrow" w:hAnsi="Arial Narrow" w:cs="Times New Roman"/>
                <w:bCs/>
                <w:sz w:val="20"/>
                <w:szCs w:val="20"/>
              </w:rPr>
              <w:t xml:space="preserve"> temu „Građanski odgoj i obrazovanje za osnovne i srednje škole u Republici Hrvatskoj“ objavljena je u „Narodnim novinama“ broj 10 u 2019. godini.</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Provode ga zaposlenici školskih ustanova, za čije se plaće sredstva osiguravaju u državnom proračunu.</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 Kurikulum ima pet osnovnih elemenata:</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 xml:space="preserve">1. Svrha i opis </w:t>
            </w:r>
            <w:proofErr w:type="spellStart"/>
            <w:r w:rsidRPr="00C95123">
              <w:rPr>
                <w:rFonts w:ascii="Arial Narrow" w:hAnsi="Arial Narrow" w:cs="Times New Roman"/>
                <w:bCs/>
                <w:sz w:val="20"/>
                <w:szCs w:val="20"/>
              </w:rPr>
              <w:t>međupredmetne</w:t>
            </w:r>
            <w:proofErr w:type="spellEnd"/>
            <w:r w:rsidRPr="00C95123">
              <w:rPr>
                <w:rFonts w:ascii="Arial Narrow" w:hAnsi="Arial Narrow" w:cs="Times New Roman"/>
                <w:bCs/>
                <w:sz w:val="20"/>
                <w:szCs w:val="20"/>
              </w:rPr>
              <w:t xml:space="preserve"> teme</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2. Odgojno-obrazovni ciljevi učenja i podučavanja</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 xml:space="preserve">3. Domene kurikuluma – </w:t>
            </w:r>
            <w:proofErr w:type="spellStart"/>
            <w:r w:rsidRPr="00C95123">
              <w:rPr>
                <w:rFonts w:ascii="Arial Narrow" w:hAnsi="Arial Narrow" w:cs="Times New Roman"/>
                <w:bCs/>
                <w:sz w:val="20"/>
                <w:szCs w:val="20"/>
              </w:rPr>
              <w:t>međupredmente</w:t>
            </w:r>
            <w:proofErr w:type="spellEnd"/>
            <w:r w:rsidRPr="00C95123">
              <w:rPr>
                <w:rFonts w:ascii="Arial Narrow" w:hAnsi="Arial Narrow" w:cs="Times New Roman"/>
                <w:bCs/>
                <w:sz w:val="20"/>
                <w:szCs w:val="20"/>
              </w:rPr>
              <w:t xml:space="preserve"> teme</w:t>
            </w:r>
          </w:p>
          <w:p w:rsidR="00C95123" w:rsidRPr="00C95123" w:rsidRDefault="00C95123" w:rsidP="00C95123">
            <w:pPr>
              <w:spacing w:after="120" w:line="240" w:lineRule="auto"/>
              <w:jc w:val="both"/>
              <w:rPr>
                <w:rFonts w:ascii="Arial Narrow" w:hAnsi="Arial Narrow" w:cs="Times New Roman"/>
                <w:bCs/>
                <w:sz w:val="20"/>
                <w:szCs w:val="20"/>
              </w:rPr>
            </w:pPr>
            <w:r w:rsidRPr="00C95123">
              <w:rPr>
                <w:rFonts w:ascii="Arial Narrow" w:hAnsi="Arial Narrow" w:cs="Times New Roman"/>
                <w:bCs/>
                <w:sz w:val="20"/>
                <w:szCs w:val="20"/>
              </w:rPr>
              <w:t>4. Odgojno-obrazovna očekivanja po odgojno-obrazovnim ciklusima i domenama te ključni sadržaji</w:t>
            </w:r>
          </w:p>
          <w:p w:rsidR="00E738EC" w:rsidRPr="00E738EC" w:rsidRDefault="00C95123" w:rsidP="00C95123">
            <w:pPr>
              <w:spacing w:after="120" w:line="240" w:lineRule="auto"/>
              <w:jc w:val="both"/>
              <w:rPr>
                <w:rFonts w:ascii="Arial Narrow" w:hAnsi="Arial Narrow" w:cs="Times New Roman"/>
                <w:sz w:val="20"/>
                <w:szCs w:val="20"/>
              </w:rPr>
            </w:pPr>
            <w:r w:rsidRPr="00C95123">
              <w:rPr>
                <w:rFonts w:ascii="Arial Narrow" w:hAnsi="Arial Narrow" w:cs="Times New Roman"/>
                <w:bCs/>
                <w:sz w:val="20"/>
                <w:szCs w:val="20"/>
              </w:rPr>
              <w:t xml:space="preserve">5. Učenje i poučavanje </w:t>
            </w:r>
            <w:proofErr w:type="spellStart"/>
            <w:r w:rsidRPr="00C95123">
              <w:rPr>
                <w:rFonts w:ascii="Arial Narrow" w:hAnsi="Arial Narrow" w:cs="Times New Roman"/>
                <w:bCs/>
                <w:sz w:val="20"/>
                <w:szCs w:val="20"/>
              </w:rPr>
              <w:t>međupredmetne</w:t>
            </w:r>
            <w:proofErr w:type="spellEnd"/>
            <w:r w:rsidRPr="00C95123">
              <w:rPr>
                <w:rFonts w:ascii="Arial Narrow" w:hAnsi="Arial Narrow" w:cs="Times New Roman"/>
                <w:bCs/>
                <w:sz w:val="20"/>
                <w:szCs w:val="20"/>
              </w:rPr>
              <w:t xml:space="preserve"> teme.</w:t>
            </w:r>
          </w:p>
        </w:tc>
      </w:tr>
    </w:tbl>
    <w:p w:rsidR="00FF0B57" w:rsidRDefault="00FF0B57"/>
    <w:sectPr w:rsidR="00FF0B57" w:rsidSect="00861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86"/>
    <w:rsid w:val="00025A5B"/>
    <w:rsid w:val="00053D88"/>
    <w:rsid w:val="00136105"/>
    <w:rsid w:val="001907B5"/>
    <w:rsid w:val="00203A30"/>
    <w:rsid w:val="002E473E"/>
    <w:rsid w:val="003273F4"/>
    <w:rsid w:val="00354B15"/>
    <w:rsid w:val="003C78EA"/>
    <w:rsid w:val="003E01D7"/>
    <w:rsid w:val="0044134C"/>
    <w:rsid w:val="00481D3E"/>
    <w:rsid w:val="00504138"/>
    <w:rsid w:val="005A2ED8"/>
    <w:rsid w:val="005B0986"/>
    <w:rsid w:val="00710D22"/>
    <w:rsid w:val="00724877"/>
    <w:rsid w:val="00734382"/>
    <w:rsid w:val="00861A01"/>
    <w:rsid w:val="00910BEF"/>
    <w:rsid w:val="0092739B"/>
    <w:rsid w:val="00B025A7"/>
    <w:rsid w:val="00BE178F"/>
    <w:rsid w:val="00C95123"/>
    <w:rsid w:val="00CA7E1B"/>
    <w:rsid w:val="00D23A9F"/>
    <w:rsid w:val="00D427D8"/>
    <w:rsid w:val="00D80619"/>
    <w:rsid w:val="00E738EC"/>
    <w:rsid w:val="00EC347B"/>
    <w:rsid w:val="00EE4EC4"/>
    <w:rsid w:val="00F42654"/>
    <w:rsid w:val="00F742DA"/>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AAD5-E3E2-493C-8C33-D9C35718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paragraph" w:styleId="StandardWeb">
    <w:name w:val="Normal (Web)"/>
    <w:basedOn w:val="Normal"/>
    <w:uiPriority w:val="99"/>
    <w:semiHidden/>
    <w:unhideWhenUsed/>
    <w:rsid w:val="00354B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50419">
      <w:bodyDiv w:val="1"/>
      <w:marLeft w:val="0"/>
      <w:marRight w:val="0"/>
      <w:marTop w:val="0"/>
      <w:marBottom w:val="0"/>
      <w:divBdr>
        <w:top w:val="none" w:sz="0" w:space="0" w:color="auto"/>
        <w:left w:val="none" w:sz="0" w:space="0" w:color="auto"/>
        <w:bottom w:val="none" w:sz="0" w:space="0" w:color="auto"/>
        <w:right w:val="none" w:sz="0" w:space="0" w:color="auto"/>
      </w:divBdr>
    </w:div>
    <w:div w:id="18564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687</Words>
  <Characters>3917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Roko</cp:lastModifiedBy>
  <cp:revision>167</cp:revision>
  <dcterms:created xsi:type="dcterms:W3CDTF">2019-10-30T13:21:00Z</dcterms:created>
  <dcterms:modified xsi:type="dcterms:W3CDTF">2022-11-15T13:39:00Z</dcterms:modified>
</cp:coreProperties>
</file>