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Pr>
        <w:drawing>
          <wp:inline distB="0" distT="0" distL="0" distR="0">
            <wp:extent cx="2438400"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8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UPRAVNI ODJEL ZA PRAVNE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ZAJEDNIČKE POSLOVE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KLASA: 112-02/21-01/19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URBROJ: 2198/1-10/1-21-5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Zadar, 6. listopada 2021. godine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Na temelju članka 17. i 19 stavka 1., Zakona o službenicima i namještenicima u lokalnoj i područnoj (regionalnoj) samoupravi («Narodne novine» broj 86/08, 61/11, 4/18, 112/19 – u daljnjem tekstu: Zakon), pročelnica Upravnog odjela za pravne i zajedničke poslove objavljuje</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UPUTE I OBAVIJESTI KANDIDATIMA</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koji podnose prijave na javni natječaj za prijam u službu</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u Upravni odjel za pravne i zajedničke poslove</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 „Narodnim novinama"</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broj</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108/2021</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od 6.</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listopada</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2021</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godine</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objavljen je javni natječaj za prijam u službu u Upravni odjel za pravne i zajedničke poslove, Odsjek za zajedničke poslove, mjesto rada Zadar, na radna mjesta:</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referent u Pododosjeku za pisarnicu i pismohranu, radno mjesto broj 30. iz Pravilnika o unutarnjem redu upravnih tijela Zadarske županije („Službeni glasnik Zadarske županije“ broj 1/20, 28/20 – u daljnjem tekstu: Pravilnik) 1 izvršitelj, na neodređeno vrijeme, uz obvezan probni rad u trajanju od 3 mjeseca;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namještenik za tehničke poslove u Pododosjeku za poslove namještenika, radno mjesto br. 34. iz Pravilnika, 1 izvršitelj, na neodređeno vrijeme, uz obvezni probni rad u trajanju od tri mjeseca.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Od dana objave javnog natječaja u „Narodnim novinama“ počinje teći rok od 8 dana za podnošenje prijava na javni natječaj. Slijedom navedenog, posljednji dan za podnošenje prijava na javni natječaj je 14.</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listopada 2021. godine. 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 Opis poslova radnih mjesta, koja se popunjavaju predmetnim javnim natječajem, prema Pravilniku o unutarnjem redu upravnih tijela Zadarske županije:</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 referent</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 radno mjesto broj 30. iz Pravilnika:</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obavlja stručne poslove iz djelokruga Pododsjeka, obavlja otpremu i čuvanje akata. Preuzima dovršene predmete, sudjeluje u postupku izlučivanja pismena i drugih akata; </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vodi evidenciju o registraturnoj građi, vodi brigu o cjelovitosti i sređenosti registraturne i arhivske građe, obavlja poslove u svezi s predajom gradiva nadležnom arhivu i izdavanja pohranjenih spisa, rukuje predmetima stavljenim u pismohranu;</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vodi urudžbeni zapisnik i upisnik predmeta upravnog postupka te ostale propisane evidencije s područja uredskog poslovanja, brine se za pravilno, uredno i pravodobno vođenje poslova i evidencija u području uredskog poslovanja. Sudjeluje u otpremi pošte, zaprima poštu, izrađuje potrebna izviješća o evidencijama koje vodi; </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3"/>
          <w:szCs w:val="23"/>
        </w:rPr>
      </w:pPr>
      <w:bookmarkStart w:colFirst="0" w:colLast="0" w:name="_30j0zll" w:id="1"/>
      <w:bookmarkEnd w:id="1"/>
      <w:r w:rsidDel="00000000" w:rsidR="00000000" w:rsidRPr="00000000">
        <w:rPr>
          <w:rFonts w:ascii="Times New Roman" w:cs="Times New Roman" w:eastAsia="Times New Roman" w:hAnsi="Times New Roman"/>
          <w:sz w:val="23"/>
          <w:szCs w:val="23"/>
          <w:rtl w:val="0"/>
        </w:rPr>
        <w:t xml:space="preserve">- obavlja i druge povjerene poslove. </w:t>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2. namještenik za tehničke poslove, radno mjesto broj 34. iz Pravilnika:</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održava uporabljivost i ispravnost zgrade Doma županije te drugih zgrada u kojima su smještene upravna tijela Županije, organizira tekuće održavanje objekata;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brine o zagrijavanju i hlađenju uredskih prostorija i nabavci goriva, obavlja poslove održavanja centralnog grijanja;</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brine o tehničkoj ispravnosti i redovitom servisiranju, registraciji te čistoći službenih vozila Zadarske županije koja koriste upravna tijela Zadarske županije i vanjski suradnici i vodi sve propisane evidencije korištenja službenih vozila koja koriste upravna tijela Zadarske županije i vanjski suradnici;</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obavlja manje kućne popravke, redovito se brine o uredima, čistom i uređenom dvorištu i okolišu zgrade Doma županije gdje je sjedište Županije. Poduzima zakonom propisane mjere i odgovoran je za osiguranje protupožarne zaštite;</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obavlja i druge povjerene poslove. </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II. Podaci o plaći:</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000000" w:rsidDel="00000000" w:rsidP="00000000" w:rsidRDefault="00000000" w:rsidRPr="00000000" w14:paraId="00000026">
      <w:pPr>
        <w:spacing w:after="0" w:line="240" w:lineRule="auto"/>
        <w:jc w:val="both"/>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Koeficijent složenosti poslova  radnog mjesta referent je 1,55, utvrđen temeljem točke III. Odluke o koeficijentima za obračun plaća službenika i namještenika Zadarske županije utvrđenog pod rednim brojem 20., za radna mjesta 11. klasifikacijskog ranga („Službeni glasnik Zadarske županije“ broj 25/19).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Koeficijent složenosti poslova radnog mjesta namještenik za tehničke poslove je 1,29, utvrđen temeljem točke III. Odluke o koeficijentima za obračun plaća službenika i namještenika Zadarske županije utvrđenog pod rednim brojem 26., za radna mjesta 12. klasifikacijskog ranga („Službeni glasnik Zadarske županije“ broj 25/19). </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B">
      <w:pPr>
        <w:tabs>
          <w:tab w:val="left" w:pos="708"/>
        </w:tabs>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Osnovica za izračun plaće utvrđena je Odlukom o visini osnovice za obračun plaća službenika i namještenika Zadarske županije („Službeni glasnik Zadarske županije“ broj 4/19, 9/20, 20/20).</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D">
      <w:pPr>
        <w:tabs>
          <w:tab w:val="left" w:pos="0"/>
        </w:tabs>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III. Način obavljanja prethodne provjere znanja i sposobnosti kandidata:</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Prethodna provjera znanja i sposobnosti kandidata temelji se na članku 22. Zakona, a provodi je tročlano Povjerenstvo za provedbu javnog natječaja imenovano od strane pročelnice Upravnog odjela za pravne i zajedničke poslove.</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7">
        <w:r w:rsidDel="00000000" w:rsidR="00000000" w:rsidRPr="00000000">
          <w:rPr>
            <w:rFonts w:ascii="Times New Roman" w:cs="Times New Roman" w:eastAsia="Times New Roman" w:hAnsi="Times New Roman"/>
            <w:sz w:val="23"/>
            <w:szCs w:val="23"/>
            <w:u w:val="single"/>
            <w:rtl w:val="0"/>
          </w:rPr>
          <w:t xml:space="preserve">www.zadarska-zupanija.hr</w:t>
        </w:r>
      </w:hyperlink>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te na oglasnoj ploči Doma Županije, Božidara Petranovića 8, Zadar, najmanje pet dana prije održavanja provjere.</w:t>
      </w:r>
    </w:p>
    <w:p w:rsidR="00000000" w:rsidDel="00000000" w:rsidP="00000000" w:rsidRDefault="00000000" w:rsidRPr="00000000" w14:paraId="00000031">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Podnositelji nepravodobnih i nepotpunih prijava kao i podnositelji koji ne udovoljavaju propisanim i objavljenim uvjetima javnog natječaja neće se smatrati kandidatima prijavljenim na javni natječaj, te će im biti upućena odgovarajuća pisana obavijest.</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 Pravni izvori za pripremanje kandidata za prethodnu provjeru znanja za referenta, radno mjesto broj 30. iz Pravilnika, su sljedeći: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Uredba o uredskom poslovanju („Narodne novine“ broj 75/2021);</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Zakon o arhivskom gradivu i arhivima („Narodne novine“ broj 61/2018, 98/2019);</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Statut Zadarske županije („Službeni glasnik Zadarske županije“ broj 11/2018 – pročišćeni tekst, 5/2020, 5/2021).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ff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2. Pravni izvori za pripremanje kandidata za prethodnu provjeru znanja za namještenika za tehničke poslove, radno mjesto broj 34. iz Pravilnika, su sljedeći: </w:t>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Zakon o zaštiti na radu od članka 17. do članka 66. („Narodne novine“ broj 71/2014, 118/2014, 154/2014, 94/2018, 96/2018);</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Statut Zadarske županije („Službeni glasnik Zadarske županije“ broj11/2018 – pročišćeni tekst, 5/2020, 5/2021). </w:t>
      </w:r>
    </w:p>
    <w:p w:rsidR="00000000" w:rsidDel="00000000" w:rsidP="00000000" w:rsidRDefault="00000000" w:rsidRPr="00000000" w14:paraId="0000003C">
      <w:pPr>
        <w:spacing w:after="0" w:line="240" w:lineRule="auto"/>
        <w:jc w:val="both"/>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Izvori za pripremu kandidata objavljeni u «Narodnim novinama» dostupni su na mrežnoj stranici </w:t>
      </w:r>
      <w:hyperlink r:id="rId8">
        <w:r w:rsidDel="00000000" w:rsidR="00000000" w:rsidRPr="00000000">
          <w:rPr>
            <w:rFonts w:ascii="Times New Roman" w:cs="Times New Roman" w:eastAsia="Times New Roman" w:hAnsi="Times New Roman"/>
            <w:color w:val="0000ff"/>
            <w:sz w:val="23"/>
            <w:szCs w:val="23"/>
            <w:u w:val="single"/>
            <w:rtl w:val="0"/>
          </w:rPr>
          <w:t xml:space="preserve">https://narodne-novine.nn.hr/</w:t>
        </w:r>
      </w:hyperlink>
      <w:r w:rsidDel="00000000" w:rsidR="00000000" w:rsidRPr="00000000">
        <w:rPr>
          <w:rFonts w:ascii="Times New Roman" w:cs="Times New Roman" w:eastAsia="Times New Roman" w:hAnsi="Times New Roman"/>
          <w:sz w:val="23"/>
          <w:szCs w:val="23"/>
          <w:rtl w:val="0"/>
        </w:rPr>
        <w:t xml:space="preserve">,</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izvori objavljeni u „Službenom glasniku Zadarske županije“ dostupni su na linku </w:t>
      </w:r>
      <w:hyperlink r:id="rId9">
        <w:r w:rsidDel="00000000" w:rsidR="00000000" w:rsidRPr="00000000">
          <w:rPr>
            <w:rFonts w:ascii="Times New Roman" w:cs="Times New Roman" w:eastAsia="Times New Roman" w:hAnsi="Times New Roman"/>
            <w:color w:val="0000ff"/>
            <w:sz w:val="23"/>
            <w:szCs w:val="23"/>
            <w:u w:val="single"/>
            <w:rtl w:val="0"/>
          </w:rPr>
          <w:t xml:space="preserve">https://glasnik.zadarska-zupanija.hr/</w:t>
        </w:r>
      </w:hyperlink>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3E">
      <w:pPr>
        <w:spacing w:after="0" w:line="240" w:lineRule="auto"/>
        <w:jc w:val="both"/>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Prethodna provjera znanja i sposobnosti kandidata, za sva radna mjesta koja se popunjavaju predmetnim javnim natječajem, obuhvaća:</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pisanu provjeru znanja iz područja navedenih u pravnim izvorima za pripremanje kandidata,</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intervju. </w:t>
      </w:r>
    </w:p>
    <w:p w:rsidR="00000000" w:rsidDel="00000000" w:rsidP="00000000" w:rsidRDefault="00000000" w:rsidRPr="00000000" w14:paraId="00000042">
      <w:pPr>
        <w:spacing w:after="0" w:line="240" w:lineRule="auto"/>
        <w:jc w:val="both"/>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Za svaki dio provjere, kandidatima se dodjeljuje broj bodova od 1 do 10, te maksimalan broj bodova koje kandidat može ostvariti na prethodnoj provjeri znanja i sposobnosti je 20 bodova.</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Smatra se da je kandidat položio pisani test ako je ostvario najmanje 50% bodova iz svakog dijela provjere znanja i sposobnosti kandidata na provedenom testiranju.</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 kandidatom koji na pisanom testiranju ostvari najmanje 50% ukupnog mogućeg broja bodova, Povjerenstvo za provedbu javnog natječaja provest će intervju. </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Povjerenstvo kroz intervju s kandidatima utvrđuje interese, profesionalne ciljeve i motivaciju kandidata za rad na radnom mjestu za koje je podnio prijavu.</w:t>
      </w:r>
    </w:p>
    <w:p w:rsidR="00000000" w:rsidDel="00000000" w:rsidP="00000000" w:rsidRDefault="00000000" w:rsidRPr="00000000" w14:paraId="0000004B">
      <w:pPr>
        <w:tabs>
          <w:tab w:val="left" w:pos="708"/>
        </w:tabs>
        <w:spacing w:after="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Intervju se boduje na način da svaki član Povjerenstva boduje kandidata, od 1 do 10, te se zbroj njihovih bodova dijeli s brojem članova Povjerenstva, i dobiveni iznos čini (prosjek) bodovne ocjene.</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Maksimalan broj bodova koji kandidat može ostvariti na intervjuu je 10 bodova.</w:t>
      </w:r>
    </w:p>
    <w:p w:rsidR="00000000" w:rsidDel="00000000" w:rsidP="00000000" w:rsidRDefault="00000000" w:rsidRPr="00000000" w14:paraId="0000004E">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IV. U nastavku donosimo još nekoliko informacija o javno natječajnom postupku:</w:t>
      </w:r>
    </w:p>
    <w:p w:rsidR="00000000" w:rsidDel="00000000" w:rsidP="00000000" w:rsidRDefault="00000000" w:rsidRPr="00000000" w14:paraId="00000050">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000000" w:rsidDel="00000000" w:rsidP="00000000" w:rsidRDefault="00000000" w:rsidRPr="00000000" w14:paraId="00000051">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Izvadak iz Zakona o službenicima i namještenicima u lokalnoj i područnoj (regionalnoj) samoupravi („Narodne novine“ 86/08, 61/11, 4/18, 112/19), a koji se odnosi na natječajni postupak, dostupan je na linku </w:t>
      </w:r>
      <w:hyperlink r:id="rId10">
        <w:r w:rsidDel="00000000" w:rsidR="00000000" w:rsidRPr="00000000">
          <w:rPr>
            <w:rFonts w:ascii="Times New Roman" w:cs="Times New Roman" w:eastAsia="Times New Roman" w:hAnsi="Times New Roman"/>
            <w:color w:val="0000ff"/>
            <w:sz w:val="23"/>
            <w:szCs w:val="23"/>
            <w:u w:val="single"/>
            <w:rtl w:val="0"/>
          </w:rPr>
          <w:t xml:space="preserve">https://zadarska-zupanija.hr/images/izvadak_iz_zakona_2019.pdf</w:t>
        </w:r>
      </w:hyperlink>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52">
      <w:pPr>
        <w:spacing w:after="0" w:line="240" w:lineRule="auto"/>
        <w:ind w:left="72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Riječni i pojmovni skupovi u ovom dokumentu koji imaju rodno značenje, bez obzira jesu li korišteni u muškom i ženskom rodu, odnose se na jednak način na muški i ženski rod.</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Ovaj dokument objavljen je na mrežnoj stranici Zadarske županije </w:t>
      </w:r>
      <w:hyperlink r:id="rId11">
        <w:r w:rsidDel="00000000" w:rsidR="00000000" w:rsidRPr="00000000">
          <w:rPr>
            <w:rFonts w:ascii="Times New Roman" w:cs="Times New Roman" w:eastAsia="Times New Roman" w:hAnsi="Times New Roman"/>
            <w:color w:val="0000ff"/>
            <w:sz w:val="23"/>
            <w:szCs w:val="23"/>
            <w:u w:val="single"/>
            <w:rtl w:val="0"/>
          </w:rPr>
          <w:t xml:space="preserve">www.zadarska-zupanija.hr</w:t>
        </w:r>
      </w:hyperlink>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na oglasnoj ploči Doma Županije dana 6. listopada 2021. godine.</w:t>
      </w:r>
    </w:p>
    <w:p w:rsidR="00000000" w:rsidDel="00000000" w:rsidP="00000000" w:rsidRDefault="00000000" w:rsidRPr="00000000" w14:paraId="00000057">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PROČELNICA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ab/>
        <w:tab/>
        <w:tab/>
        <w:tab/>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ab/>
        <w:tab/>
        <w:tab/>
        <w:tab/>
        <w:tab/>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Milena Ikić, dipl. iur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b w:val="1"/>
          <w:sz w:val="23"/>
          <w:szCs w:val="23"/>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https://zadarska-zupanija.hr/images/izvadak_iz_zakona_2019.pdf" TargetMode="External"/><Relationship Id="rId5" Type="http://schemas.openxmlformats.org/officeDocument/2006/relationships/styles" Target="styles.xml"/><Relationship Id="rId8" Type="http://schemas.openxmlformats.org/officeDocument/2006/relationships/hyperlink" Target="https://narodne-novine.nn.hr/" TargetMode="External"/><Relationship Id="rId4" Type="http://schemas.openxmlformats.org/officeDocument/2006/relationships/numbering" Target="numbering.xml"/><Relationship Id="rId9" Type="http://schemas.openxmlformats.org/officeDocument/2006/relationships/hyperlink" Target="https://glasnik.zadarska-zupanija.hr/" TargetMode="External"/><Relationship Id="rId3" Type="http://schemas.openxmlformats.org/officeDocument/2006/relationships/fontTable" Target="fontTable.xml"/><Relationship Id="rId6" Type="http://schemas.openxmlformats.org/officeDocument/2006/relationships/image" Target="media/image1.png"/><Relationship Id="rId11" Type="http://schemas.openxmlformats.org/officeDocument/2006/relationships/hyperlink" Target="http://www.zadarska-zupanija.hr" TargetMode="External"/><Relationship Id="rId7" Type="http://schemas.openxmlformats.org/officeDocument/2006/relationships/hyperlink" Target="http://www.zadarska-zupanija.hr"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