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DDF" w:rsidRPr="005F3DDF" w:rsidRDefault="005F3DDF" w:rsidP="005F3DDF">
      <w:pPr>
        <w:ind w:hanging="709"/>
        <w:jc w:val="right"/>
        <w:rPr>
          <w:rFonts w:ascii="Times New Roman" w:eastAsia="Times New Roman" w:hAnsi="Times New Roman"/>
          <w:b/>
          <w:kern w:val="32"/>
          <w:sz w:val="24"/>
          <w:szCs w:val="24"/>
        </w:rPr>
      </w:pPr>
      <w:r w:rsidRPr="005F3DDF">
        <w:rPr>
          <w:rFonts w:ascii="Times New Roman" w:eastAsia="Times New Roman" w:hAnsi="Times New Roman"/>
          <w:b/>
          <w:sz w:val="24"/>
          <w:szCs w:val="24"/>
        </w:rPr>
        <w:t>PRILOG 2.a</w:t>
      </w:r>
    </w:p>
    <w:p w:rsidR="005F3DDF" w:rsidRPr="005F3DDF" w:rsidRDefault="005F3DDF" w:rsidP="005F3DDF">
      <w:pPr>
        <w:ind w:hanging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F3DDF">
        <w:rPr>
          <w:rFonts w:ascii="Times New Roman" w:eastAsia="Times New Roman" w:hAnsi="Times New Roman"/>
          <w:b/>
          <w:kern w:val="32"/>
          <w:sz w:val="24"/>
          <w:szCs w:val="24"/>
        </w:rPr>
        <w:t xml:space="preserve">Obveznik ___________________________________ </w:t>
      </w:r>
    </w:p>
    <w:p w:rsidR="005F3DDF" w:rsidRPr="005F3DDF" w:rsidRDefault="005F3DDF" w:rsidP="005F3DDF">
      <w:pPr>
        <w:jc w:val="center"/>
        <w:rPr>
          <w:rFonts w:eastAsia="Times New Roman"/>
          <w:b/>
        </w:rPr>
      </w:pPr>
      <w:r w:rsidRPr="005F3DDF">
        <w:rPr>
          <w:rFonts w:ascii="Times New Roman" w:eastAsia="Times New Roman" w:hAnsi="Times New Roman"/>
          <w:b/>
          <w:sz w:val="24"/>
          <w:szCs w:val="24"/>
        </w:rPr>
        <w:t xml:space="preserve">UPITNIK O FISKALNOJ ODGOVORNOSTI ZA OBVEZNIKE UTVRĐENE U </w:t>
      </w:r>
      <w:r w:rsidRPr="005F3DDF">
        <w:rPr>
          <w:rFonts w:ascii="Times New Roman" w:eastAsia="Times New Roman" w:hAnsi="Times New Roman"/>
          <w:b/>
          <w:color w:val="000000"/>
          <w:sz w:val="24"/>
          <w:szCs w:val="24"/>
          <w:lang w:eastAsia="hr-HR"/>
        </w:rPr>
        <w:t>REGISTRU PRORAČUNSKIH I IZVANPRORAČUNSKIH KORISNIKA</w:t>
      </w:r>
      <w:r w:rsidRPr="005F3DDF">
        <w:rPr>
          <w:rFonts w:ascii="Times New Roman" w:eastAsia="Times New Roman" w:hAnsi="Times New Roman"/>
          <w:b/>
          <w:sz w:val="24"/>
          <w:szCs w:val="24"/>
        </w:rPr>
        <w:t xml:space="preserve"> ZA PRORAČUNSKU GODINU _______</w:t>
      </w: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2"/>
        <w:gridCol w:w="5987"/>
        <w:gridCol w:w="830"/>
        <w:gridCol w:w="727"/>
        <w:gridCol w:w="703"/>
        <w:gridCol w:w="5582"/>
      </w:tblGrid>
      <w:tr w:rsidR="005F3DDF" w:rsidRPr="005F3DDF" w:rsidTr="00604C26">
        <w:trPr>
          <w:trHeight w:val="255"/>
        </w:trPr>
        <w:tc>
          <w:tcPr>
            <w:tcW w:w="772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5987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582" w:type="dxa"/>
            <w:vMerge w:val="restart"/>
            <w:shd w:val="clear" w:color="auto" w:fill="C0C0C0"/>
            <w:vAlign w:val="bottom"/>
          </w:tcPr>
          <w:p w:rsidR="005F3DDF" w:rsidRPr="005F3DDF" w:rsidRDefault="005F3DDF" w:rsidP="00604C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  <w:r w:rsidR="00604C26">
              <w:rPr>
                <w:rStyle w:val="Referencafusnote"/>
                <w:rFonts w:ascii="Arial" w:eastAsia="Times New Roman" w:hAnsi="Arial"/>
                <w:b/>
                <w:bCs/>
                <w:sz w:val="20"/>
                <w:szCs w:val="20"/>
              </w:rPr>
              <w:footnoteReference w:id="1"/>
            </w:r>
          </w:p>
        </w:tc>
      </w:tr>
      <w:tr w:rsidR="005F3DDF" w:rsidRPr="005F3DDF" w:rsidTr="00604C26">
        <w:trPr>
          <w:trHeight w:val="615"/>
        </w:trPr>
        <w:tc>
          <w:tcPr>
            <w:tcW w:w="772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87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shd w:val="clear" w:color="auto" w:fill="C0C0C0"/>
            <w:noWrap/>
            <w:vAlign w:val="bottom"/>
          </w:tcPr>
          <w:p w:rsidR="005F3DDF" w:rsidRPr="005F3DDF" w:rsidRDefault="005F3DDF" w:rsidP="00604C26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="00604C26">
              <w:rPr>
                <w:rStyle w:val="Referencafusnote"/>
                <w:rFonts w:ascii="Arial" w:eastAsia="Times New Roman" w:hAnsi="Arial"/>
                <w:b/>
                <w:bCs/>
                <w:sz w:val="20"/>
                <w:szCs w:val="20"/>
              </w:rPr>
              <w:footnoteReference w:id="2"/>
            </w:r>
          </w:p>
        </w:tc>
        <w:tc>
          <w:tcPr>
            <w:tcW w:w="5582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84"/>
        </w:trPr>
        <w:tc>
          <w:tcPr>
            <w:tcW w:w="14601" w:type="dxa"/>
            <w:gridSpan w:val="6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PLANIRANJE PRORAČUNA/FINANCIJSKOG PLANA</w:t>
            </w:r>
          </w:p>
        </w:tc>
      </w:tr>
      <w:tr w:rsidR="005F3DDF" w:rsidRPr="005F3DDF" w:rsidTr="00604C26">
        <w:trPr>
          <w:trHeight w:val="9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Strateški plan je sastavljen i objavljen na web stranicama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5F3DDF" w:rsidRPr="005F3DDF" w:rsidTr="00604C26">
        <w:trPr>
          <w:trHeight w:val="8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Programi iz financijskog plana povezani su s ciljevima iz strateškog plana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(odgovaraju ministarstva i druga tijela državne uprave na razini razdjela organizacijske klasifikacije)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vezne tablice 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ovo pitanje nije primjenjivo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848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Za ciljeve iz strateškog plana utvrđeni su i procijenjeni rizici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tablica rizika</w:t>
            </w:r>
          </w:p>
        </w:tc>
      </w:tr>
      <w:tr w:rsidR="005F3DDF" w:rsidRPr="005F3DDF" w:rsidTr="00604C26">
        <w:trPr>
          <w:trHeight w:val="239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before="96" w:after="96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Upravno tijelo nadležno za financije jedinice lokalne i područne (regionalne) samouprave nakon primitka uputa za izradu proračuna jedinice lokalne i područne (regionalne) samouprave od Ministarstva financija izradilo je i dostavilo proračunskim i izvanproračunskim korisnicima jedinice lokalne i područne (regionalne) samouprave upute za izradu proračuna jedinice lokalne i područne (regionalne) samouprave s limitima odnosno s visinama financijskog plana po proračunskim korisnicima za sljedeću proračunsku godinu i za sljedeće dvije godine, koje su raspoređene na:</w:t>
            </w:r>
          </w:p>
          <w:p w:rsidR="005F3DDF" w:rsidRPr="005F3DDF" w:rsidRDefault="005F3DDF" w:rsidP="005F3DDF">
            <w:pPr>
              <w:spacing w:before="96" w:after="96" w:line="288" w:lineRule="atLeast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- visinu sredstava potrebnih za provedbu postojećih programa, odnosno aktivnosti, koje proizlaze iz trenutno važećih propisa i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- visinu sredstava potrebnih za uvođenje i provedbu novih ili promjenu postojećih programa, odnosno aktivnosti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i izvanproračunske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</w:tc>
      </w:tr>
      <w:tr w:rsidR="005F3DDF" w:rsidRPr="005F3DDF" w:rsidTr="00604C26">
        <w:trPr>
          <w:trHeight w:val="552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Ministarstvo je nakon primitka uputa za izradu prijedloga državnog proračuna od Ministarstva financija izradilo i dostavilo proračunskim korisnicima iz svoje nadležnosti upute s limitima, odnosno s visinama financijskog plana po proračunskim korisnicima za sljedeću proračunsku godinu i za sljedeće dvije godine, koje su raspoređene na: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- visinu sredstava potrebnih za provedbu postojećih programa, odnosno aktivnosti, koje proizlaze iz trenutno važećih propisa i 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- visinu sredstava potrebnih za uvođenje i provedbu novih ili promjenu postojećih programa, odnosno aktivnosti,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a u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razdoblju privremenog financiranja, ministarstvo je, nakon primitka uputa za izradu financijskih planova proračunskih i izvanproračunskih korisnika državnog proračuna za prva tri mjeseca proračunske godine od Ministarstva financija, izradilo i dostavilo upute s limitima plana za prva tri mjeseca proračunske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godine korisnicima iz svoje nadležnosti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 upute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2133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državnog proračuna sadrži prihode i primitke iskazane po vrstama, rashode i izdatke predviđene za trogodišnje razdoblje, razvrstane prema proračunskim klasifikacijama i obrazloženje prijedloga financijskog plana, a u razdoblju privremenog financiranja, sadrži procjenu prihoda i primitaka iskazanih po vrstama, rashoda i izdataka predviđenih za prva tri mjeseca proračunske godine, razvrstanih prema proračunskim klasifikacijama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</w:t>
            </w:r>
          </w:p>
        </w:tc>
      </w:tr>
      <w:tr w:rsidR="005F3DDF" w:rsidRPr="005F3DDF" w:rsidTr="00604C26">
        <w:trPr>
          <w:trHeight w:val="1369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Financijski plan proračunskog korisnika jedinice lokalne i područne (regionalne) samouprave sadrži prihode i primitke iskazane po vrstama, rashode i izdatke predviđene za trogodišnje razdoblje, razvrstane prema proračunskim klasifikacijama te obrazloženje prijedloga financijskog plana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</w:tc>
      </w:tr>
      <w:tr w:rsidR="005F3DDF" w:rsidRPr="005F3DDF" w:rsidTr="00604C26">
        <w:trPr>
          <w:trHeight w:val="2962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Obrazloženje financijskog plana proračunskog korisnika državnog proračuna i proračunskog korisnika jedinice lokalne i područne (regionalne) samouprave sadrži sažetak djelokruga rada proračunskog korisnika, obrazložene programe, zakonske i druge podloge na kojima se zasnivaju programi, usklađene ciljeve, strategiju i programe s dokumentima dugoročnog razvoja, ishodište i pokazatelje na kojima se zasnivaju izračuni i ocjene potrebnih sredstava za provođenje programa, izvještaj o postignutim ciljevima i rezultatima programa temeljenim na pokazateljima uspješnosti iz nadležnosti proračunskog korisnika u prethodnoj godini te ostala obrazloženja i dokumentaciju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obrazloženja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pitanje nije primjenjivo za proračunske korisnike državnog proračuna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693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Financijski plan izvanproračunskog korisnika državnog proračuna i jedinice lokalne i područne (regionalne) samouprave sadrži prihode i primitke iskazane po vrstama, rashode i izdatke predviđene za trogodišnje razdoblje, razvrstane prema proračunskim klasifikacijama i obrazloženje prijedloga financijskog plana, a u razdoblju privremenog financiranja, financijski plan izvanproračunskog korisnika državnog proračuna 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sadrži procjenu prihoda i primitaka iskazanih po vrstama, rashoda i izdataka predviđenih za prva tri mjeseca proračunske godine, razvrstanih prema proračunskim klasifikacijama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1030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Usklađeni prijedlog financijskog plana ministarstva sastavljen je temeljem prikupljenih i objedinjenih prijedloga financijskih planova proračunskih korisnika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koja u svojoj nadležnosti imaju 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provesti analizu na način da se zbroje prihodi i rashodi iz financijskih planova proračunskih korisnika te prihodi i rashodi iz financijskog plana nadležnog ministarstva bez proračunskih korisnika te usporede s podacima u usklađenom financijskom planu </w:t>
            </w:r>
          </w:p>
        </w:tc>
      </w:tr>
      <w:tr w:rsidR="005F3DDF" w:rsidRPr="005F3DDF" w:rsidTr="00604C26">
        <w:trPr>
          <w:trHeight w:val="1067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Godišnji plan rada je sastavljen u skladu sa strateškim i financijskim planom i objavljen na web stranicama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link na web stranicu</w:t>
            </w:r>
          </w:p>
        </w:tc>
      </w:tr>
      <w:tr w:rsidR="005F3DDF" w:rsidRPr="005F3DDF" w:rsidTr="00604C26">
        <w:trPr>
          <w:trHeight w:val="786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Uz opći i posebni dio proračuna jedinice lokalne i područne (regionalne) samouprave, predstavničkom tijelu na usvajanje upućen je i plan razvojnih programa koji sadrži ciljeve te prioritete razvoja jedinice lokalne i područne (regionalne) samouprave povezane s programskom i organizacijskom klasifikacijom proračuna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plana razvojnih programa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2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Čelnik jedinice lokalne i područne (regionalne) samouprave uputio je prijedlog proračuna i projekcija predstavničkom tijelu na donošenje u zakonom predviđenom roku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odnosno drugi dokaz da je prijedlog proračuna i projekcija predan predstavničkom tijelu </w:t>
            </w:r>
          </w:p>
        </w:tc>
      </w:tr>
      <w:tr w:rsidR="005F3DDF" w:rsidRPr="005F3DDF" w:rsidTr="00604C26">
        <w:trPr>
          <w:trHeight w:val="510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Doneseni proračun objavljen je u službenom glasilu jedinice lokalne i područne (regionalne) samouprave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broj i naziv službenog glasila i datum objave 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Uz proračun jedinice lokalne i područne (regionalne) samouprave odnosno financijski plan proračunskog i izvanproračunskog korisnika za iduću proračunsku godinu, donijele su se i projekcije za sljedeće dvije proračunske godine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broj i naziv službenog glasila i datum objave za proračune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financijskog plana usvojenog do 31. prosinca za proračunske i izvanproračunske korisnike</w:t>
            </w: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pitanje nije primjenjivo za proračunske i izvanproračunske korisnike državnog proračuna za godinu u kojoj se donosi odluka o privremenom financiranju poslova, funkcija i programa državnih tijela i drugih proračunskih korisnika za prva tri mjeseca naredne godine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Čelnik je u roku 30 dana od stupanja na snagu državnog proračuna donio odluku o prijenosu ovlasti i odgovornosti za provedbu strateškog plana i upravljanje proračunskim sredstvima osiguranim u financijskom planu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 klasifikacije)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odluke</w:t>
            </w:r>
          </w:p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734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Proračun te izmjene i dopune i odluka o izvršavanju dostavljeni su Ministarstvu financija u roku od 15 dana od dana njihova stupanja na snagu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275"/>
        </w:trPr>
        <w:tc>
          <w:tcPr>
            <w:tcW w:w="772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5987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se zaduživala/ davala suglasnost za zaduživanje/jamstvo sukladno odredbama Zakona o proračunu i Pravilnika o postupku zaduživanja te davanja jamstava i suglasnosti jedinica lokalne i područne (regionalne) samouprave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582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i danih suglasnosti</w:t>
            </w:r>
          </w:p>
        </w:tc>
      </w:tr>
    </w:tbl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footerReference w:type="even" r:id="rId9"/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4"/>
        <w:gridCol w:w="27"/>
        <w:gridCol w:w="5440"/>
        <w:gridCol w:w="546"/>
        <w:gridCol w:w="109"/>
        <w:gridCol w:w="567"/>
        <w:gridCol w:w="709"/>
        <w:gridCol w:w="1701"/>
        <w:gridCol w:w="4536"/>
      </w:tblGrid>
      <w:tr w:rsidR="005F3DDF" w:rsidRPr="005F3DDF" w:rsidTr="00604C26">
        <w:trPr>
          <w:trHeight w:val="255"/>
        </w:trPr>
        <w:tc>
          <w:tcPr>
            <w:tcW w:w="824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467" w:type="dxa"/>
            <w:gridSpan w:val="2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32" w:type="dxa"/>
            <w:gridSpan w:val="5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536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374"/>
        </w:trPr>
        <w:tc>
          <w:tcPr>
            <w:tcW w:w="824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67" w:type="dxa"/>
            <w:gridSpan w:val="2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5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6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3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4536" w:type="dxa"/>
            <w:vMerge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431"/>
        </w:trPr>
        <w:tc>
          <w:tcPr>
            <w:tcW w:w="14459" w:type="dxa"/>
            <w:gridSpan w:val="9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IZVRŠAVANJE PRORAČUNA/FINACIJSKOG PLANA</w:t>
            </w:r>
          </w:p>
        </w:tc>
      </w:tr>
      <w:tr w:rsidR="005F3DDF" w:rsidRPr="005F3DDF" w:rsidTr="00604C26">
        <w:trPr>
          <w:trHeight w:val="454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Procedura stvaranja ugovornih obveza jasno je definirana i dostupna svim ustrojstvenim jedinicama/upravnim odjelima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5F3DDF" w:rsidRPr="005F3DDF" w:rsidTr="00604C26">
        <w:trPr>
          <w:trHeight w:val="1892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Obveze po ugovorima koji zahtijevaju plaćanje iz proračuna u sljedećim godinama preuzimale su se isključivo uz suglasnost ministra financija/Vlade Republike Hrvatske odnosno općinskog načelnika /gradonačelnika /župana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proračunski korisnici državnog proračuna i proračunski korisnici proračuna jedinica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dobivenih suglasnosti na uzorku od najviše 20</w:t>
            </w:r>
          </w:p>
        </w:tc>
      </w:tr>
      <w:tr w:rsidR="005F3DDF" w:rsidRPr="005F3DDF" w:rsidTr="00604C26">
        <w:trPr>
          <w:trHeight w:val="1267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Obveze po investicijskim projektima preuzimaju se isključivo ako su predviđene u proračunu i projekcijama, financijskom planu i po provedenom stručnom vrednovanju i ocjeni opravdanosti te učinkovitosti investicijskog projekta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najviše 10 investicijskih projekata dokazati povezanost s proračunom i projekcijama, odnosno s financijskim planom i priložiti preslike odnosno reference  provedenih vrednovanja</w:t>
            </w:r>
          </w:p>
        </w:tc>
      </w:tr>
      <w:tr w:rsidR="005F3DDF" w:rsidRPr="005F3DDF" w:rsidTr="00604C26">
        <w:trPr>
          <w:trHeight w:val="85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Preraspodjele su izvršene u skladu s odredbama Zakona o proračunu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dopisa s odobrenom preraspodjelom </w:t>
            </w:r>
          </w:p>
        </w:tc>
      </w:tr>
      <w:tr w:rsidR="005F3DDF" w:rsidRPr="005F3DDF" w:rsidTr="00604C26">
        <w:trPr>
          <w:trHeight w:val="850"/>
        </w:trPr>
        <w:tc>
          <w:tcPr>
            <w:tcW w:w="824" w:type="dxa"/>
            <w:noWrap/>
            <w:vAlign w:val="center"/>
          </w:tcPr>
          <w:p w:rsidR="005F3DDF" w:rsidRPr="005F3DDF" w:rsidDel="00F50FCB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Postoji jasna procedura naplate prihoda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 iz koje su vidljive vrste prihoda koje se naplaćuju,  mjere naplate koje će poduzimati, vremensko razdoblje nakon kojeg se pokreće pojedina mjera naplate, slučajeve u kojima treba pribaviti instrumente osiguranja plaćanja, praćenje naplate po poduzetim mjerama, osobe koje će obavljati navedene poslove i slično</w:t>
            </w:r>
          </w:p>
        </w:tc>
      </w:tr>
      <w:tr w:rsidR="005F3DDF" w:rsidRPr="005F3DDF" w:rsidTr="00604C26">
        <w:trPr>
          <w:trHeight w:val="1346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24.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Poduzete su sve potrebne mjere za potpunu naplatu prihoda i primitaka iz nadležnosti i uplatu u proračun prema važećim propisima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 uzorku od 10% dospjelih nenaplaćenih potraživanja sa stanjem 31. prosinca dokazi o poduzetim radnjama za naplatu (preslike odnosno reference odgovarajućih dopisa, opomena), a najviše 100</w:t>
            </w:r>
          </w:p>
        </w:tc>
      </w:tr>
      <w:tr w:rsidR="005F3DDF" w:rsidRPr="005F3DDF" w:rsidTr="00604C26">
        <w:trPr>
          <w:trHeight w:val="207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Svi namjenski prihodi i primici te vlastiti prihodi proračunskih korisnika uplaćivali su se u nadležni proračun jedinice lokalne i područne (regionalne) samouprave osim onih koji su izuzeti od obveze uplate temeljem odluke o izvršavanju proračuna jedinice lokalne i područne (regionalne) samouprave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 koje u svojoj nadležnosti imaju proračunske korisnike)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dokaz o uplati namjenskih prihoda i primitaka te vlastitih prihoda u nadležni proračun i preslika odnosno referenca odluke </w:t>
            </w:r>
          </w:p>
        </w:tc>
      </w:tr>
      <w:tr w:rsidR="005F3DDF" w:rsidRPr="005F3DDF" w:rsidTr="00604C26">
        <w:trPr>
          <w:trHeight w:val="1110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Ministarstvo odnosno jedinica lokalne i područne (regionalne) samouprave pratila je korištenje namjenskih prihoda i primitaka te vlastitih prihoda koje ostvaruju proračunski korisnici iz svoje nadležnosti koji su izuzeti od uplate u proračun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 o načinu praćenja</w:t>
            </w:r>
          </w:p>
        </w:tc>
      </w:tr>
      <w:tr w:rsidR="005F3DDF" w:rsidRPr="005F3DDF" w:rsidTr="00604C26">
        <w:trPr>
          <w:trHeight w:val="268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Sredstva su utrošena u skladu s proračunom odnosno financijskim planom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izvještaj o izvršenju proračuna za jedinice lokalne i područne (regionalne) samouprave iz kojeg se vidi da nije utrošeno više sredstva od odobrenih proračunom (osim za vlastite i namjenske prihode i primitke u skladu sa Zakonom o proračunu)</w:t>
            </w:r>
          </w:p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</w:p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usporedba izvršenja i financijskog plana iz koje se vidi da nije utrošeno više sredstva od odobrenih financijskim planom (osim za vlastite i namjenske prihode i primitke u skladu sa Zakonom o proračunu) za proračunske i izvanproračunske korisnike</w:t>
            </w:r>
          </w:p>
        </w:tc>
      </w:tr>
      <w:tr w:rsidR="005F3DDF" w:rsidRPr="005F3DDF" w:rsidTr="00604C26">
        <w:trPr>
          <w:trHeight w:val="1008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28.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Isplata sredstava temeljila se na vjerodostojnoj dokumentaciji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nasumično odabrano najmanje pet isplata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 po svakoj od vrsta rashoda na razini definiranoj u Tablici: Testiranja uz pitanje 24. danoj u dodatku 1 Upitnika</w:t>
            </w:r>
          </w:p>
        </w:tc>
      </w:tr>
      <w:tr w:rsidR="005F3DDF" w:rsidRPr="005F3DDF" w:rsidTr="00604C26">
        <w:trPr>
          <w:trHeight w:val="779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Pratilo se i kontroliralo namjensko isplaćivanje donacija, pomoći, subvencija do krajnjeg korisnika te korištenje istih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uzorak od 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5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% ukupnog bro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ja svih transfera i minimalno 5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% ukupne vrijednosti svih transfera, a najviše 100 </w:t>
            </w:r>
          </w:p>
        </w:tc>
      </w:tr>
      <w:tr w:rsidR="005F3DDF" w:rsidRPr="005F3DDF" w:rsidTr="00604C26">
        <w:trPr>
          <w:trHeight w:val="369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29.1.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Dostupne su preslike odnosno reference ugovora koji su podloga za isplate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</w:t>
            </w:r>
          </w:p>
        </w:tc>
      </w:tr>
      <w:tr w:rsidR="005F3DDF" w:rsidRPr="005F3DDF" w:rsidTr="00604C26">
        <w:trPr>
          <w:trHeight w:val="626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29.2.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Obavljene su provjere na licu mjesta na odabranom uzorku od onih krajnjih korisnika kojima su na godišnjoj razini izvršene isplate iznad 20.000,00 kuna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preslika odnosno referenca zapisnika izvršene kontrole određenog broja krajnjih korisnika (uzorak) koji su na godišnjoj ostvarili iznad 20.000,00 kuna od proračuna, proračunskih i izvanproračunskih korisnika 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29.3.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Postoji izvješće od krajnjeg korisnika o utrošku sredstava/realizaciji projekta  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izviješća</w:t>
            </w:r>
          </w:p>
        </w:tc>
      </w:tr>
      <w:tr w:rsidR="005F3DDF" w:rsidRPr="005F3DDF" w:rsidTr="00604C26">
        <w:trPr>
          <w:trHeight w:val="111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Prilikom isporuke opreme/izvođenja radova obavljene su sve potrebne provjere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provjera na uzorku 5% ukupnog broja svih nabava dugotrajne nefinancijske imovine i minimalno 5% ukupne vrijednosti svih nabava dugotrajne nefinancijske imovine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30.1.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način utvrđen ugovorom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30.2.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 vremenskim rokovima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5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30.3.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u skladu sa zahtjevima količine i kvalitete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30.4.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na lokacijama koje su navedene u ugovoru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30.5.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prema opisu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30.6.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isporučena/Radovi su izvedeni sukladno nacrtima, analizama, modelima, uzorcima iz ugovora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268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30.7. 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Oprema je instalirana i u upotrebi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priložiti odgovarajući dokaz</w:t>
            </w:r>
          </w:p>
        </w:tc>
      </w:tr>
      <w:tr w:rsidR="005F3DDF" w:rsidRPr="005F3DDF" w:rsidTr="00604C26">
        <w:trPr>
          <w:trHeight w:val="870"/>
        </w:trPr>
        <w:tc>
          <w:tcPr>
            <w:tcW w:w="851" w:type="dxa"/>
            <w:gridSpan w:val="2"/>
            <w:noWrap/>
            <w:vAlign w:val="center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31.</w:t>
            </w:r>
          </w:p>
        </w:tc>
        <w:tc>
          <w:tcPr>
            <w:tcW w:w="5440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Propisana je procedura zaprimanja računa, njihove provjere u odgovarajućim ustrojstvenim jedinicama/upravnim odjelima i pravovremenog plaćanja </w:t>
            </w:r>
          </w:p>
        </w:tc>
        <w:tc>
          <w:tcPr>
            <w:tcW w:w="546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pisane procedure</w:t>
            </w:r>
          </w:p>
        </w:tc>
      </w:tr>
      <w:tr w:rsidR="005F3DDF" w:rsidRPr="005F3DDF" w:rsidTr="00604C26">
        <w:trPr>
          <w:trHeight w:val="536"/>
        </w:trPr>
        <w:tc>
          <w:tcPr>
            <w:tcW w:w="824" w:type="dxa"/>
            <w:shd w:val="clear" w:color="auto" w:fill="FFFFFF"/>
            <w:noWrap/>
            <w:vAlign w:val="center"/>
          </w:tcPr>
          <w:p w:rsidR="005F3DDF" w:rsidRPr="005F3DDF" w:rsidDel="00670777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5467" w:type="dxa"/>
            <w:gridSpan w:val="2"/>
            <w:shd w:val="clear" w:color="auto" w:fill="FFFFFF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Svi ugovori se čuvaju i arhiviraju sukladno propisima o čuvanju arhivske građe</w:t>
            </w:r>
          </w:p>
        </w:tc>
        <w:tc>
          <w:tcPr>
            <w:tcW w:w="546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FFFFFF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FFFFFF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na pravilnik o zaštiti i obradi arhivskoga gradiva</w:t>
            </w:r>
          </w:p>
        </w:tc>
      </w:tr>
      <w:tr w:rsidR="005F3DDF" w:rsidRPr="005F3DDF" w:rsidTr="00604C26">
        <w:trPr>
          <w:trHeight w:val="764"/>
        </w:trPr>
        <w:tc>
          <w:tcPr>
            <w:tcW w:w="824" w:type="dxa"/>
            <w:noWrap/>
            <w:vAlign w:val="center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33. </w:t>
            </w:r>
          </w:p>
        </w:tc>
        <w:tc>
          <w:tcPr>
            <w:tcW w:w="5467" w:type="dxa"/>
            <w:gridSpan w:val="2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Imenovana je osoba za nepravilnosti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državna tijela na razini razdjela organizacijske klasifikacije te jedinice lokalne i područne (regionalne) samouprave)</w:t>
            </w:r>
          </w:p>
        </w:tc>
        <w:tc>
          <w:tcPr>
            <w:tcW w:w="546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odluke o imenovanju ili link na web stranicu gdje su objavljeni podaci o osobi za nepravilnosti</w:t>
            </w:r>
          </w:p>
        </w:tc>
      </w:tr>
    </w:tbl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U ćelije označene sivom bojom nije dozvoljeno upisivati odgovore.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711"/>
        <w:gridCol w:w="560"/>
        <w:gridCol w:w="505"/>
        <w:gridCol w:w="567"/>
        <w:gridCol w:w="2097"/>
        <w:gridCol w:w="4168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11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1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630"/>
        </w:trPr>
        <w:tc>
          <w:tcPr>
            <w:tcW w:w="85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1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5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6"/>
            </w:r>
          </w:p>
        </w:tc>
        <w:tc>
          <w:tcPr>
            <w:tcW w:w="424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CA21E5">
        <w:trPr>
          <w:trHeight w:val="650"/>
        </w:trPr>
        <w:tc>
          <w:tcPr>
            <w:tcW w:w="10218" w:type="dxa"/>
            <w:gridSpan w:val="6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JAVNA NABAVA </w:t>
            </w:r>
          </w:p>
        </w:tc>
        <w:tc>
          <w:tcPr>
            <w:tcW w:w="4241" w:type="dxa"/>
            <w:vAlign w:val="center"/>
          </w:tcPr>
          <w:p w:rsidR="005F3DDF" w:rsidRPr="005F3DDF" w:rsidRDefault="005F3DDF" w:rsidP="00CA21E5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dokazati na uzorku od 5% ugovora/objava/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br/>
              <w:t xml:space="preserve">provedenih postupaka javne nabave    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zaključenim ugovorima o nabavama velike vrijednosti ugovoreni su instrumenti za osiguranje urednog ispunjenja ugovornih obveza  ili odredbe o ugovornoj kazni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ugovora, navesti članak u kojem stoje odredbe o instrumentima urednog ispunjenja ugovornih obveza  ili odredbe o ugovornoj kazni</w:t>
            </w:r>
          </w:p>
        </w:tc>
      </w:tr>
      <w:tr w:rsidR="005F3DDF" w:rsidRPr="005F3DDF" w:rsidTr="00604C26">
        <w:trPr>
          <w:trHeight w:val="75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Ugovori o javnoj nabavi zaključeni su u skladu s uvjetima određenim u dokumentaciji za nadmetanje i odabranom ponudom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provedenim postupcima i preslike odnosno reference ugovora</w:t>
            </w:r>
          </w:p>
        </w:tc>
      </w:tr>
      <w:tr w:rsidR="005F3DDF" w:rsidRPr="005F3DDF" w:rsidTr="00604C26">
        <w:trPr>
          <w:trHeight w:val="102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36.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sve predmete javne nabave čija je procijenjena vrijednost jednaka ili veća od 200.000,00 kuna za nabavu robe i usluga, odnosno za nabavu radova jednaka ili veća od 500.000,00 kuna provedeni su postupci javne nabave sukladno odredbama Zakona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oznake i datum objave 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37.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provedene postupke javne nabave u Elektroničkom oglasniku javne nabave objavljene su odgovarajuće objave sukladno Zakonu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oznake i datum objave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Na internetskim stranicama (ili u službenim glasilu ili na oglasnoj ploči ili na drugi način) dostupan je popis gospodarskih subjekata s kojima je obveznik odnosno predstavnik naručitelja ili s njime povezane osobe u sukobu interesa u smislu propisa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adresa internetske stranice ili broj i naziv službenog glasila ili druga oznaka mjesta gdje je popis objavljen </w:t>
            </w:r>
          </w:p>
        </w:tc>
      </w:tr>
      <w:tr w:rsidR="005F3DDF" w:rsidRPr="005F3DDF" w:rsidTr="00604C26">
        <w:trPr>
          <w:trHeight w:val="51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Donesen je plan nabave u skladu s propisima o javnoj nabavi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plan nabave</w:t>
            </w:r>
          </w:p>
        </w:tc>
      </w:tr>
      <w:tr w:rsidR="005F3DDF" w:rsidRPr="005F3DDF" w:rsidTr="00604C26">
        <w:trPr>
          <w:trHeight w:val="83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40.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pripremi i provedbi postupaka javne nabave najmanje jedan ovlašteni predstavnik imao je važeći certifikat u području javne nabave u skladu s propisima o javnoj nabavi.</w:t>
            </w:r>
            <w:r w:rsidRPr="005F3DDF" w:rsidDel="009464D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potvrda i internih odluka o imenovanju ovlaštenih predstavnika naručitelja</w:t>
            </w:r>
          </w:p>
        </w:tc>
      </w:tr>
      <w:tr w:rsidR="005F3DDF" w:rsidRPr="005F3DDF" w:rsidTr="00604C26">
        <w:trPr>
          <w:trHeight w:val="861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41.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pripremi tehničke specifikacije sudjelovale su osobe različite od  ovlaštenih predstavnika naručitelja koje ocjenjuju ponude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imena osoba koje su sudjelovale u pripremi tehničke dokumentacije i preslika odnosno referenca internih odluka o imenovanju ovlaštenih predstavnika naručitelja</w:t>
            </w:r>
          </w:p>
        </w:tc>
      </w:tr>
      <w:tr w:rsidR="005F3DDF" w:rsidRPr="005F3DDF" w:rsidTr="00604C26">
        <w:trPr>
          <w:trHeight w:val="107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42.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Ovlašteni predstavnici naručitelja koji daju prijedlog za odluku o odabiru bili su različiti od osoba koje prate provedbu ugovora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internih odluka o imenovanju ovlaštenih predstavnika naručitelja i imena osoba koje prate provedbu ugovora</w:t>
            </w:r>
          </w:p>
        </w:tc>
      </w:tr>
      <w:tr w:rsidR="005F3DDF" w:rsidRPr="005F3DDF" w:rsidTr="00604C26">
        <w:trPr>
          <w:trHeight w:val="8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43.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Naručitelj vodi registar ugovora o javnoj nabavi i okvirnih sporazuma koji sadrži podatke u skladu s propisima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adresa internetskih stranicama gdje je objavljen registar ugovora o javnoj nabavi</w:t>
            </w:r>
            <w:r w:rsidRPr="005F3DDF">
              <w:rPr>
                <w:rFonts w:eastAsia="Times New Roman"/>
              </w:rPr>
              <w:t xml:space="preserve">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i okvirnih sporazuma  </w:t>
            </w:r>
          </w:p>
        </w:tc>
      </w:tr>
      <w:tr w:rsidR="005F3DDF" w:rsidRPr="005F3DDF" w:rsidTr="00604C26">
        <w:trPr>
          <w:trHeight w:val="59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44.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Sva dokumentacija o svakom postupku javne nabave čuva se najmanje četiri godine od završetka postupka javne nabave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ovitka predmeta</w:t>
            </w:r>
          </w:p>
        </w:tc>
      </w:tr>
      <w:tr w:rsidR="005F3DDF" w:rsidRPr="005F3DDF" w:rsidTr="00604C26">
        <w:trPr>
          <w:trHeight w:val="55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45.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Ugovori o nabavi javnih usluga iz Dodatka II. B sklopljeni su na temelju odredaba Zakona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preslike odnosno reference dokumentacije o nabavi i sklopljenih ugovora</w:t>
            </w:r>
          </w:p>
        </w:tc>
      </w:tr>
      <w:tr w:rsidR="005F3DDF" w:rsidRPr="005F3DDF" w:rsidTr="00604C26">
        <w:trPr>
          <w:trHeight w:val="836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46.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 31. ožujka tijelu nadležnom za sustav javne nabave dostavljeno je  izvješće o javnoj nabavi za prethodnu godinu koje sadrži podatke sukladno Zakonu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izvješća</w:t>
            </w:r>
          </w:p>
        </w:tc>
      </w:tr>
      <w:tr w:rsidR="005F3DDF" w:rsidRPr="005F3DDF" w:rsidTr="00604C26">
        <w:trPr>
          <w:trHeight w:val="84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47.</w:t>
            </w:r>
          </w:p>
        </w:tc>
        <w:tc>
          <w:tcPr>
            <w:tcW w:w="5711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Donesen je akt kojim su uređena pitanja nabave za nabavu robe i usluga odnosno za nabavu radova na koje se ne primjenjuje Zakon o javnoj nabavi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97" w:type="dxa"/>
            <w:shd w:val="clear" w:color="auto" w:fill="A6A6A6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41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color w:val="000000"/>
          <w:sz w:val="20"/>
          <w:szCs w:val="20"/>
        </w:rPr>
        <w:t>Ako je provođenje postupaka javne nabave objedinjeno na razini osnivača, obveznik odgovara „NIJE PRIMJENJIVO – N/P“.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</w:pP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703"/>
        <w:gridCol w:w="560"/>
        <w:gridCol w:w="505"/>
        <w:gridCol w:w="567"/>
        <w:gridCol w:w="2097"/>
        <w:gridCol w:w="4176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703" w:type="dxa"/>
            <w:vMerge w:val="restart"/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3656" w:type="dxa"/>
            <w:gridSpan w:val="4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4249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540"/>
        </w:trPr>
        <w:tc>
          <w:tcPr>
            <w:tcW w:w="851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3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505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494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7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09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DJELOMIČNO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8"/>
            </w:r>
          </w:p>
        </w:tc>
        <w:tc>
          <w:tcPr>
            <w:tcW w:w="4249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611"/>
        </w:trPr>
        <w:tc>
          <w:tcPr>
            <w:tcW w:w="14459" w:type="dxa"/>
            <w:gridSpan w:val="7"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>RAČUNOVODSTVO</w:t>
            </w:r>
          </w:p>
        </w:tc>
      </w:tr>
      <w:tr w:rsidR="005F3DDF" w:rsidRPr="005F3DDF" w:rsidTr="00604C26">
        <w:trPr>
          <w:trHeight w:val="81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48.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Rashodi su evidentirani  u glavnoj knjizi na temelju nastanka poslovnog događaja (obveze) i u izvještajnom razdoblju na koje se odnose, neovisno o plaćanju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dokumenata temeljem kojih su evidentirani poslovni događaji (ulazni računi, obračuni i dr.), a najviše 100 </w:t>
            </w:r>
          </w:p>
        </w:tc>
      </w:tr>
      <w:tr w:rsidR="005F3DDF" w:rsidRPr="005F3DDF" w:rsidTr="00604C26">
        <w:trPr>
          <w:trHeight w:val="11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49.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Narudžbenice su valjano ispunjene na način da se vidi tko je nabavu inicirao, tko je nabavu odobrio, koja vrsta roba/usluga/ radova se nabavlja, uz detaljnu specifikaciju jedinica mjere, količina, jediničnih cijena te ukupnih cijena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narudžbenica, a najviše 100</w:t>
            </w:r>
          </w:p>
        </w:tc>
      </w:tr>
      <w:tr w:rsidR="005F3DDF" w:rsidRPr="005F3DDF" w:rsidTr="00604C26">
        <w:trPr>
          <w:trHeight w:val="84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50.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 potpisanim ugovorima s dobavljačima/pružateljima usluga/izvršiteljima radova detaljno je utvrđena vrsta robe/usluga/radova koji se nabavljaju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ugovora i minimalno 5% ukupne vrijednosti svih ugovora</w:t>
            </w:r>
          </w:p>
        </w:tc>
      </w:tr>
      <w:tr w:rsidR="005F3DDF" w:rsidRPr="005F3DDF" w:rsidTr="00604C26">
        <w:trPr>
          <w:trHeight w:val="127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51.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Iz primke, otpremnice i drugog odgovarajućeg dokumenta potpisanog od skladištara ili druge osobe zadužene za zaprimanje robe i dobavljača vidljivo je da je prilikom preuzimanja robe utvrđena količina, stanje i kvaliteta zaprimljene robe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preslike odnosno reference dokumenata na uzorku 5% svih dokumenata, a najviše 100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52.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Postoji izvještaj o obavljenoj usluzi odnosno druga vrsta pisanog odobrenja ili dokumentacije kojom se potvrđuje izvršenje usluge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 ili druge dokumentacije na uzorku 1% izvršenih usluga, a najviše 100</w:t>
            </w:r>
          </w:p>
        </w:tc>
      </w:tr>
      <w:tr w:rsidR="005F3DDF" w:rsidRPr="005F3DDF" w:rsidTr="00604C26">
        <w:trPr>
          <w:trHeight w:val="84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53.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O izvedenim radovima, sukladno definiranoj proceduri odobrenja radova, postoji privremena odnosno konačna obračunska situacija, koju odobrava osoba odnosno tijelo koje nadzire i odobrava radove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preslike odnosno reference odobrenih privremenih odnosno konačnih situacija na uzorku 5% svih ugovora </w:t>
            </w:r>
          </w:p>
        </w:tc>
      </w:tr>
      <w:tr w:rsidR="005F3DDF" w:rsidRPr="005F3DDF" w:rsidTr="00604C26">
        <w:trPr>
          <w:trHeight w:val="57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54.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 zaprimljenim računima navedeni su svi elementi računa u skladu sa zakonskim i </w:t>
            </w:r>
            <w:proofErr w:type="spellStart"/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podzakonskim</w:t>
            </w:r>
            <w:proofErr w:type="spellEnd"/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propisima 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55.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Zaprimljeni računi sadrže referencu na broj narudžbenice/ugovora temeljem kojeg su roba/usluge/radovi isporučeni</w:t>
            </w:r>
            <w:r w:rsidRPr="005F3DDF">
              <w:rPr>
                <w:rFonts w:eastAsia="Times New Roman"/>
              </w:rPr>
              <w:t xml:space="preserve">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 po ugovorima sklopljenim temeljem postupaka javne nabave, a najviše 100</w:t>
            </w:r>
          </w:p>
        </w:tc>
      </w:tr>
      <w:tr w:rsidR="005F3DDF" w:rsidRPr="005F3DDF" w:rsidTr="00604C26">
        <w:trPr>
          <w:trHeight w:val="82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56.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Računi sadrže detaljnu specifikaciju roba/usluga/radova koje odgovaraju opisu i specifikaciji roba/usluga/radova definiranih narudžbenicom odnosno ugovorom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CA21E5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</w:t>
            </w:r>
            <w:r w:rsidR="005F3DDF"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zorak</w:t>
            </w:r>
            <w:r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 </w:t>
            </w:r>
            <w:r w:rsidR="005F3DDF"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1% svih računa, a najviše 100</w:t>
            </w:r>
          </w:p>
        </w:tc>
      </w:tr>
      <w:tr w:rsidR="005F3DDF" w:rsidRPr="005F3DDF" w:rsidTr="00604C26">
        <w:trPr>
          <w:trHeight w:val="47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57.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Za svaki račun obavljena je matematička kontrola ispravnosti iznosa koji je zaračunan, što je naznačeno na računu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497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58.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Provjereno je postojanje potpisa, žiga ili druge oznake kojom se može potvrditi da je račun odobren za plaćanje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109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59.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Nakon provjere suštine računa i dokumentacije obavljenih usluga, radova odnosno nabave robe računi se u glavnoj knjizi evidentiraju po proračunskim klasifikacijama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1% svih računa, a najviše 100</w:t>
            </w:r>
          </w:p>
        </w:tc>
      </w:tr>
      <w:tr w:rsidR="005F3DDF" w:rsidRPr="005F3DDF" w:rsidTr="00604C26">
        <w:trPr>
          <w:trHeight w:val="7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60.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Prihodi su evidentirani u glavnoj knjizi u trenutku u kojem su postali raspoloživi i mjerljivi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uzorak 1% svih uplata, a najviše 100 </w:t>
            </w:r>
          </w:p>
        </w:tc>
      </w:tr>
      <w:tr w:rsidR="005F3DDF" w:rsidRPr="005F3DDF" w:rsidTr="00604C26">
        <w:trPr>
          <w:trHeight w:val="153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61.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Za primljene i dane donacije nefinancijske imovine u glavnoj knjizi evidentirani su prihodi i rashodi prema procijenjenoj vrijednosti imovine, a međusobni prijenos nefinancijske imovine proračuna i proračunskih korisnika evidentiran je preko promjena u obujmu imovine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uzorak 5% svih donacija i minimalno 5% ukupne vrijednosti svih primljenih i danih donacija</w:t>
            </w:r>
          </w:p>
        </w:tc>
      </w:tr>
      <w:tr w:rsidR="005F3DDF" w:rsidRPr="005F3DDF" w:rsidTr="00604C26">
        <w:trPr>
          <w:trHeight w:val="1020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62.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Povjerenstva za popis osnovao je čelnik proračuna/proračunskog korisnika. Odredio je datum obavljanja popisa, rokove obavljanja popisa i dostavljanje izvještaja s priloženim popisnim listama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odluke o provođenju popisa</w:t>
            </w:r>
          </w:p>
        </w:tc>
      </w:tr>
      <w:tr w:rsidR="005F3DDF" w:rsidRPr="005F3DDF" w:rsidTr="00604C26">
        <w:trPr>
          <w:trHeight w:val="722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63.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Povjerenstvo za popis obavilo je popis cjelokupne imovine i obveza, sastavilo izvještaj temeljem popisnih lista i predalo ga čelniku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izvještaja</w:t>
            </w:r>
          </w:p>
        </w:tc>
      </w:tr>
      <w:tr w:rsidR="005F3DDF" w:rsidRPr="005F3DDF" w:rsidTr="00CA21E5">
        <w:trPr>
          <w:trHeight w:val="977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64.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Poslovne knjige i računovodstvene isprave čuvaju se sukladno rokovima utvrđenima Pravilnikom o proračunskom računovodstvu i računskom planu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klasifikacijska oznaka Pravilnika o čuvanju arhivskog i </w:t>
            </w:r>
            <w:proofErr w:type="spellStart"/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registraturnog</w:t>
            </w:r>
            <w:proofErr w:type="spellEnd"/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 gradiva odnosno odgovarajući dokaz</w:t>
            </w:r>
          </w:p>
        </w:tc>
      </w:tr>
      <w:tr w:rsidR="005F3DDF" w:rsidRPr="005F3DDF" w:rsidTr="00604C26">
        <w:trPr>
          <w:trHeight w:val="778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65.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Uspostavljene računovodstvene evidencije omogućile su praćenje korištenja sredstva po izvorima financiranja i programima (projektima/aktivnostima)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 xml:space="preserve">dio analitičke evidencije  po izvorima financiranja i programima (projektima i aktivnostima) ili referenca iz pitanja 23. </w:t>
            </w:r>
          </w:p>
        </w:tc>
      </w:tr>
      <w:tr w:rsidR="005F3DDF" w:rsidRPr="005F3DDF" w:rsidTr="00604C26">
        <w:trPr>
          <w:trHeight w:val="265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66.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Uspostavljena je evidencija svih ugovora 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  <w:tr w:rsidR="005F3DDF" w:rsidRPr="005F3DDF" w:rsidTr="00604C26">
        <w:trPr>
          <w:trHeight w:val="553"/>
        </w:trPr>
        <w:tc>
          <w:tcPr>
            <w:tcW w:w="851" w:type="dxa"/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67.</w:t>
            </w:r>
          </w:p>
        </w:tc>
        <w:tc>
          <w:tcPr>
            <w:tcW w:w="5703" w:type="dxa"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Vodi se analitička evidencija dugotrajne nefinancijske imovine i usklađena je s glavnom knjigom</w:t>
            </w:r>
          </w:p>
        </w:tc>
        <w:tc>
          <w:tcPr>
            <w:tcW w:w="56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5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94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9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249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preslika odnosno referenca dijela evidencije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potrebno ga je priložiti samo jednom. U ćelije označene sivom bojom nije dozvoljeno upisivati odgovore.</w:t>
      </w:r>
    </w:p>
    <w:p w:rsidR="005F3DDF" w:rsidRPr="005F3DDF" w:rsidRDefault="005F3DDF" w:rsidP="005F3DDF">
      <w:pPr>
        <w:spacing w:after="0"/>
        <w:rPr>
          <w:rFonts w:eastAsia="Times New Roman"/>
          <w:b/>
        </w:rPr>
        <w:sectPr w:rsidR="005F3DDF" w:rsidRPr="005F3DDF" w:rsidSect="005F3DD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845"/>
        <w:gridCol w:w="830"/>
        <w:gridCol w:w="727"/>
        <w:gridCol w:w="703"/>
        <w:gridCol w:w="5645"/>
      </w:tblGrid>
      <w:tr w:rsidR="005F3DDF" w:rsidRPr="005F3DDF" w:rsidTr="00604C26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5845" w:type="dxa"/>
            <w:vMerge w:val="restart"/>
            <w:tcBorders>
              <w:left w:val="single" w:sz="4" w:space="0" w:color="auto"/>
            </w:tcBorders>
            <w:shd w:val="clear" w:color="auto" w:fill="C0C0C0"/>
            <w:noWrap/>
            <w:vAlign w:val="center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Pitanje </w:t>
            </w:r>
          </w:p>
        </w:tc>
        <w:tc>
          <w:tcPr>
            <w:tcW w:w="2260" w:type="dxa"/>
            <w:gridSpan w:val="3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Odgovor</w:t>
            </w:r>
          </w:p>
        </w:tc>
        <w:tc>
          <w:tcPr>
            <w:tcW w:w="5645" w:type="dxa"/>
            <w:vMerge w:val="restart"/>
            <w:shd w:val="clear" w:color="auto" w:fill="C0C0C0"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Referenca</w:t>
            </w:r>
          </w:p>
        </w:tc>
      </w:tr>
      <w:tr w:rsidR="005F3DDF" w:rsidRPr="005F3DDF" w:rsidTr="00604C26">
        <w:trPr>
          <w:trHeight w:val="6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5" w:type="dxa"/>
            <w:vMerge/>
            <w:tcBorders>
              <w:lef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N/P</w:t>
            </w:r>
          </w:p>
        </w:tc>
        <w:tc>
          <w:tcPr>
            <w:tcW w:w="727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</w:p>
        </w:tc>
        <w:tc>
          <w:tcPr>
            <w:tcW w:w="703" w:type="dxa"/>
            <w:shd w:val="clear" w:color="auto" w:fill="C0C0C0"/>
            <w:noWrap/>
            <w:vAlign w:val="bottom"/>
          </w:tcPr>
          <w:p w:rsidR="005F3DDF" w:rsidRPr="005F3DDF" w:rsidRDefault="005F3DDF" w:rsidP="005F3DDF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NE</w:t>
            </w:r>
            <w:r w:rsidRPr="005F3DDF">
              <w:rPr>
                <w:rFonts w:ascii="Arial" w:eastAsia="Times New Roman" w:hAnsi="Arial"/>
                <w:b/>
                <w:bCs/>
                <w:sz w:val="20"/>
                <w:szCs w:val="20"/>
                <w:vertAlign w:val="superscript"/>
              </w:rPr>
              <w:footnoteReference w:id="9"/>
            </w:r>
            <w:r w:rsidRPr="005F3DD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45" w:type="dxa"/>
            <w:vMerge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556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IZVJEŠTAVANJE I OSTALO </w:t>
            </w:r>
          </w:p>
        </w:tc>
      </w:tr>
      <w:tr w:rsidR="005F3DDF" w:rsidRPr="005F3DDF" w:rsidTr="00604C26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68.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Kod predaje financijskih izvještaja poštivali su se rokovi i način predaje utvrđeni Pravilnikom o financijskom izvještavanju u proračunskom računovodstvu </w:t>
            </w:r>
            <w:r w:rsidRPr="005F3DDF">
              <w:rPr>
                <w:rFonts w:ascii="Arial" w:eastAsia="Times New Roman" w:hAnsi="Arial" w:cs="Arial"/>
                <w:color w:val="C0C0C0"/>
                <w:sz w:val="20"/>
                <w:szCs w:val="20"/>
              </w:rPr>
              <w:t>(odgovaraju obveznici primjene proračunskog računovodstva)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604C26">
            <w:pPr>
              <w:spacing w:after="0"/>
              <w:jc w:val="both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preslike odnosno reference referentnih stranica financijskih izvještaja </w:t>
            </w:r>
          </w:p>
        </w:tc>
      </w:tr>
      <w:tr w:rsidR="005F3DDF" w:rsidRPr="005F3DDF" w:rsidTr="00604C26">
        <w:trPr>
          <w:trHeight w:val="17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69.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Jedinica lokalne i područne (regionalne) samouprave izvještavala je Ministarstvo financija o zaduženjima/danim suglasnostima za zaduženja/jamstva sukladno odredbama Zakona o proračunu i Pravilnika o postupku zaduživanja te davanja jamstava i suglasnosti jedinica lokalne i područne (regionalne) samouprave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70.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Jedinica lokalne i područne (regionalne) samouprave (korisnik pomoći izravnanja) dostavila je izvještaj o utrošenim sredstvima resornom ministarstvu ili nadležnom tijelu državne uprave na propisan način i u rokovima utvrđenima Uredbom o načinu izračuna iznosa pomoći izravnanja za decentralizirane funkcije jedinice lokalne i područne (regionalne) samouprave i odlukama o kriterijima i mjerilima za osiguranje minimalnog financijskog standarda javnih potreba u djelatnostima osnovnog i srednjeg školstva, socijalne skrbi, zdravstva i vatrogastva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jedinice lokalne i područne (regionalne) samouprave - nositelji decentraliziranih funkcija)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2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71.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Kod predaje polugodišnjeg i godišnjeg izvještaja o izvršenju proračuna jedinice lokalne i područne (regionalne) samouprave poštivali su se rokovi i odredbe o sadržaju izvještaja utvrđene Zakonom o proračunu 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odnosno drugi dokaz da je polugodišnji i godišnji izvještaj predan predstavničkom tijelu te broj i naziv službenog glasila i datum objave izvještaja</w:t>
            </w:r>
          </w:p>
        </w:tc>
      </w:tr>
      <w:tr w:rsidR="005F3DDF" w:rsidRPr="005F3DDF" w:rsidTr="00604C26">
        <w:trPr>
          <w:trHeight w:val="1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72.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Godišnji izvještaj o izvršenju proračuna jedinice lokalne i područne (regionalne) samouprave dostavljen je Ministarstvu financija i Državnom uredu za reviziju u roku od 15 dana nakon što ga je donijelo predstavničko tijelo odnosno u slučaju da ga predstavničko tijelo nije donijelo, u roku od 60 dana od dana podnošenja navedenog izvještaja predstavničkom tijelu</w:t>
            </w:r>
            <w:r w:rsidRPr="005F3DDF">
              <w:rPr>
                <w:rFonts w:eastAsia="Times New Roman"/>
                <w:color w:val="000000"/>
              </w:rPr>
              <w:t xml:space="preserve">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jedinice lokalne i područne (regionalne) samouprave)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</w:t>
            </w:r>
          </w:p>
        </w:tc>
      </w:tr>
      <w:tr w:rsidR="005F3DDF" w:rsidRPr="005F3DDF" w:rsidTr="00604C2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73.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sz w:val="20"/>
                <w:szCs w:val="20"/>
              </w:rPr>
              <w:t>Provedene su suštinske i formalne kontrole dostavljenih Izjava o fiskalnoj odgovornost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(odgovaraju nadležna ministarstva i jedinice lokalne i područne (regionalne) samouprave kojima se dostavljaju izjave o fiskalnoj odgovornosti)</w:t>
            </w:r>
            <w:r w:rsidRPr="005F3DDF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5" w:type="dxa"/>
          </w:tcPr>
          <w:p w:rsidR="005F3DDF" w:rsidRPr="005F3DDF" w:rsidRDefault="005F3DDF" w:rsidP="005F3DDF">
            <w:pPr>
              <w:spacing w:after="0"/>
              <w:rPr>
                <w:rFonts w:ascii="Arial" w:eastAsia="Times New Roman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odnosno referenca dopisa ili pismena o izvršenim kontrolama</w:t>
            </w:r>
          </w:p>
        </w:tc>
      </w:tr>
      <w:tr w:rsidR="005F3DDF" w:rsidRPr="005F3DDF" w:rsidTr="00604C26">
        <w:trPr>
          <w:trHeight w:val="9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>74.</w:t>
            </w:r>
          </w:p>
        </w:tc>
        <w:tc>
          <w:tcPr>
            <w:tcW w:w="5845" w:type="dxa"/>
            <w:tcBorders>
              <w:left w:val="single" w:sz="4" w:space="0" w:color="auto"/>
            </w:tcBorders>
          </w:tcPr>
          <w:p w:rsidR="005F3DDF" w:rsidRPr="005F3DDF" w:rsidRDefault="005F3DDF" w:rsidP="005F3D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 xml:space="preserve">Uspostavljen je sustav dokumentiranja podataka o rizicima i izvještavanja o najznačajnijim rizicima i postoji jasna procedura o upravljanju rizicima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druga tijela državne uprave na razini razdjela organizacijske</w:t>
            </w:r>
            <w:r w:rsidR="00604C26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 xml:space="preserve"> klasifikacije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hideMark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color w:val="969696"/>
                <w:sz w:val="20"/>
                <w:szCs w:val="20"/>
              </w:rPr>
            </w:pP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preslika registra rizika, izvještaja i internog akta (sva tri zahtjeva treba ispuniti)</w:t>
            </w:r>
          </w:p>
          <w:p w:rsidR="005F3DDF" w:rsidRPr="005F3DDF" w:rsidRDefault="005F3DDF" w:rsidP="005F3D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DDF" w:rsidRPr="005F3DDF" w:rsidTr="00604C26">
        <w:trPr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>75.</w:t>
            </w:r>
          </w:p>
        </w:tc>
        <w:tc>
          <w:tcPr>
            <w:tcW w:w="5845" w:type="dxa"/>
            <w:tcBorders>
              <w:left w:val="single" w:sz="4" w:space="0" w:color="auto"/>
            </w:tcBorders>
            <w:hideMark/>
          </w:tcPr>
          <w:p w:rsidR="005F3DDF" w:rsidRPr="005F3DDF" w:rsidRDefault="005F3DDF" w:rsidP="005F3DDF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F3DDF">
              <w:rPr>
                <w:rFonts w:ascii="Arial" w:hAnsi="Arial" w:cs="Arial"/>
                <w:sz w:val="20"/>
                <w:szCs w:val="20"/>
              </w:rPr>
              <w:t xml:space="preserve">Internim aktom (uputom, sporazumom) uređen je način komunikacije, izvještavanja i drugih aktivnosti s proračunskim i izvanproračunskim korisnicima iz nadležnosti  </w:t>
            </w:r>
            <w:r w:rsidRPr="005F3DDF">
              <w:rPr>
                <w:rFonts w:ascii="Arial" w:eastAsia="Times New Roman" w:hAnsi="Arial" w:cs="Arial"/>
                <w:color w:val="969696"/>
                <w:sz w:val="20"/>
                <w:szCs w:val="20"/>
              </w:rPr>
              <w:t>(odgovaraju ministarstva i jedinice lokalne i područne (regionalne) samouprave koji imaju proračunske i izvanproračunske korisnike)</w:t>
            </w:r>
          </w:p>
        </w:tc>
        <w:tc>
          <w:tcPr>
            <w:tcW w:w="830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3" w:type="dxa"/>
            <w:noWrap/>
            <w:vAlign w:val="bottom"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5" w:type="dxa"/>
            <w:hideMark/>
          </w:tcPr>
          <w:p w:rsidR="005F3DDF" w:rsidRPr="005F3DDF" w:rsidRDefault="005F3DDF" w:rsidP="005F3DDF">
            <w:pPr>
              <w:spacing w:after="0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5F3DDF">
              <w:rPr>
                <w:rFonts w:ascii="Arial" w:hAnsi="Arial" w:cs="Arial"/>
                <w:color w:val="969696"/>
                <w:sz w:val="20"/>
                <w:szCs w:val="20"/>
              </w:rPr>
              <w:t>preslika odnosno referenca akta</w:t>
            </w:r>
          </w:p>
        </w:tc>
      </w:tr>
    </w:tbl>
    <w:p w:rsidR="005F3DDF" w:rsidRPr="005F3DDF" w:rsidRDefault="005F3DDF" w:rsidP="005F3DDF">
      <w:pPr>
        <w:spacing w:after="0"/>
        <w:rPr>
          <w:rFonts w:ascii="Arial" w:eastAsia="Times New Roman" w:hAnsi="Arial" w:cs="Arial"/>
          <w:b/>
          <w:bCs/>
          <w:sz w:val="20"/>
          <w:szCs w:val="20"/>
        </w:rPr>
      </w:pPr>
      <w:r w:rsidRPr="005F3DDF">
        <w:rPr>
          <w:rFonts w:ascii="Arial" w:eastAsia="Times New Roman" w:hAnsi="Arial" w:cs="Arial"/>
          <w:b/>
          <w:bCs/>
          <w:sz w:val="20"/>
          <w:szCs w:val="20"/>
        </w:rPr>
        <w:t xml:space="preserve">Napomena: 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Sva pitanja u Upitniku moraju biti odgovorena upisivanjem oznake "X" u odgovarajući stupac.</w:t>
      </w:r>
    </w:p>
    <w:p w:rsidR="005F3DDF" w:rsidRPr="005F3DDF" w:rsidRDefault="005F3DDF" w:rsidP="005F3DDF">
      <w:pPr>
        <w:spacing w:after="0"/>
        <w:rPr>
          <w:rFonts w:ascii="Arial" w:eastAsia="Times New Roman" w:hAnsi="Arial" w:cs="Arial"/>
          <w:sz w:val="20"/>
          <w:szCs w:val="20"/>
        </w:rPr>
      </w:pPr>
      <w:r w:rsidRPr="005F3DDF">
        <w:rPr>
          <w:rFonts w:ascii="Arial" w:eastAsia="Times New Roman" w:hAnsi="Arial" w:cs="Arial"/>
          <w:sz w:val="20"/>
          <w:szCs w:val="20"/>
        </w:rPr>
        <w:t>Ako pitanje nije primjenjivo na obveznika oznaka "X" stavlja se u stupac N/P.</w:t>
      </w:r>
    </w:p>
    <w:p w:rsidR="00BD2DF6" w:rsidRPr="003C771D" w:rsidRDefault="005F3DDF" w:rsidP="00116D9D">
      <w:pPr>
        <w:spacing w:after="0"/>
        <w:rPr>
          <w:rFonts w:cs="Arial"/>
          <w:sz w:val="24"/>
          <w:szCs w:val="24"/>
          <w:lang w:eastAsia="hr-HR"/>
        </w:rPr>
      </w:pPr>
      <w:r w:rsidRPr="005F3DDF">
        <w:rPr>
          <w:rFonts w:ascii="Arial" w:eastAsia="Times New Roman" w:hAnsi="Arial" w:cs="Arial"/>
          <w:sz w:val="20"/>
          <w:szCs w:val="20"/>
        </w:rPr>
        <w:t>Ako se u različitim pitanjima traži isti dokaz, potreb</w:t>
      </w:r>
      <w:r w:rsidR="00116D9D">
        <w:rPr>
          <w:rFonts w:ascii="Arial" w:eastAsia="Times New Roman" w:hAnsi="Arial" w:cs="Arial"/>
          <w:sz w:val="20"/>
          <w:szCs w:val="20"/>
        </w:rPr>
        <w:t>no ga je priložiti samo jedno</w:t>
      </w:r>
      <w:bookmarkStart w:id="0" w:name="_GoBack"/>
      <w:bookmarkEnd w:id="0"/>
    </w:p>
    <w:sectPr w:rsidR="00BD2DF6" w:rsidRPr="003C771D" w:rsidSect="00116D9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DDF" w:rsidRDefault="005F3DDF" w:rsidP="005F3DDF">
      <w:pPr>
        <w:spacing w:after="0" w:line="240" w:lineRule="auto"/>
      </w:pPr>
      <w:r>
        <w:separator/>
      </w:r>
    </w:p>
  </w:endnote>
  <w:endnote w:type="continuationSeparator" w:id="0">
    <w:p w:rsidR="005F3DDF" w:rsidRDefault="005F3DDF" w:rsidP="005F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DF" w:rsidRDefault="005F3DDF" w:rsidP="005F3DD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F3DDF" w:rsidRDefault="005F3DDF" w:rsidP="005F3DDF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DF" w:rsidRDefault="005F3DDF" w:rsidP="005F3DDF">
    <w:pPr>
      <w:pStyle w:val="Podnoje"/>
      <w:ind w:right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DDF" w:rsidRDefault="005F3DDF" w:rsidP="005F3DDF">
      <w:pPr>
        <w:spacing w:after="0" w:line="240" w:lineRule="auto"/>
      </w:pPr>
      <w:r>
        <w:separator/>
      </w:r>
    </w:p>
  </w:footnote>
  <w:footnote w:type="continuationSeparator" w:id="0">
    <w:p w:rsidR="005F3DDF" w:rsidRDefault="005F3DDF" w:rsidP="005F3DDF">
      <w:pPr>
        <w:spacing w:after="0" w:line="240" w:lineRule="auto"/>
      </w:pPr>
      <w:r>
        <w:continuationSeparator/>
      </w:r>
    </w:p>
  </w:footnote>
  <w:footnote w:id="1">
    <w:p w:rsidR="00604C26" w:rsidRPr="00604C26" w:rsidRDefault="00604C26" w:rsidP="00604C26">
      <w:pPr>
        <w:pStyle w:val="Tekstfusnote"/>
        <w:rPr>
          <w:rFonts w:ascii="Arial" w:hAnsi="Arial" w:cs="Arial"/>
          <w:lang w:val="hr-HR"/>
        </w:rPr>
      </w:pPr>
      <w:r w:rsidRPr="00604C26">
        <w:rPr>
          <w:rStyle w:val="Referencafusnote"/>
          <w:lang w:val="hr-HR"/>
        </w:rPr>
        <w:footnoteRef/>
      </w:r>
      <w:r w:rsidRPr="00604C26">
        <w:rPr>
          <w:lang w:val="hr-HR"/>
        </w:rPr>
        <w:t xml:space="preserve"> </w:t>
      </w:r>
      <w:r w:rsidRPr="00604C26">
        <w:rPr>
          <w:rFonts w:ascii="Arial" w:hAnsi="Arial" w:cs="Arial"/>
          <w:lang w:val="hr-HR"/>
        </w:rPr>
        <w:t>Stupac Referenca se ne popunjava već su u njemu dane upute koja je vrsta dokaza podloga za davanje odgovora na pitanje</w:t>
      </w:r>
    </w:p>
  </w:footnote>
  <w:footnote w:id="2">
    <w:p w:rsidR="00604C26" w:rsidRPr="00604C26" w:rsidRDefault="00604C26">
      <w:pPr>
        <w:pStyle w:val="Tekstfusnote"/>
        <w:rPr>
          <w:rFonts w:ascii="Arial" w:hAnsi="Arial" w:cs="Arial"/>
          <w:lang w:val="hr-HR"/>
        </w:rPr>
      </w:pPr>
      <w:r w:rsidRPr="00604C26">
        <w:rPr>
          <w:rStyle w:val="Referencafusnote"/>
          <w:rFonts w:ascii="Arial" w:hAnsi="Arial" w:cs="Arial"/>
          <w:lang w:val="hr-HR"/>
        </w:rPr>
        <w:footnoteRef/>
      </w:r>
      <w:r w:rsidRPr="00604C26">
        <w:rPr>
          <w:rFonts w:ascii="Arial" w:hAnsi="Arial" w:cs="Arial"/>
          <w:lang w:val="hr-HR"/>
        </w:rPr>
        <w:t xml:space="preserve"> Za svaki negativan odgovor evidentirati slabost, odnosno nepravilnost u Planu otklanjanja slabosti i nepravilnosti</w:t>
      </w:r>
    </w:p>
  </w:footnote>
  <w:footnote w:id="3">
    <w:p w:rsidR="005F3DDF" w:rsidRDefault="005F3DDF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4">
    <w:p w:rsidR="005F3DDF" w:rsidRDefault="005F3DDF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5">
    <w:p w:rsidR="005F3DDF" w:rsidRDefault="005F3DDF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6">
    <w:p w:rsidR="005F3DDF" w:rsidRDefault="005F3DDF" w:rsidP="005F3DDF">
      <w:pPr>
        <w:pStyle w:val="Tekstfusnote"/>
      </w:pPr>
      <w:r w:rsidRPr="00020917">
        <w:rPr>
          <w:rStyle w:val="Referencafusnote"/>
        </w:rPr>
        <w:footnoteRef/>
      </w:r>
      <w:r w:rsidRPr="00020917"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7">
    <w:p w:rsidR="005F3DDF" w:rsidRDefault="005F3DDF" w:rsidP="005F3DDF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  <w:footnote w:id="8">
    <w:p w:rsidR="005F3DDF" w:rsidRDefault="005F3DDF" w:rsidP="005F3DDF">
      <w:pPr>
        <w:pStyle w:val="Tekstfusnote"/>
      </w:pPr>
      <w:r w:rsidRPr="00020917">
        <w:rPr>
          <w:rStyle w:val="Referencafusnote"/>
          <w:lang w:val="hr-HR"/>
        </w:rPr>
        <w:footnoteRef/>
      </w:r>
      <w:r w:rsidRPr="00020917">
        <w:rPr>
          <w:lang w:val="hr-HR"/>
        </w:rPr>
        <w:t xml:space="preserve"> </w:t>
      </w:r>
      <w:r w:rsidRPr="00020917">
        <w:rPr>
          <w:rFonts w:ascii="Arial" w:hAnsi="Arial" w:cs="Arial"/>
          <w:lang w:val="hr-HR"/>
        </w:rPr>
        <w:t>Za svaki djelomično potvrdan odgovor evidentirati slabost, odnosno nepravilnost u Planu otklanjanja slabosti i nepravilnosti</w:t>
      </w:r>
    </w:p>
  </w:footnote>
  <w:footnote w:id="9">
    <w:p w:rsidR="005F3DDF" w:rsidRDefault="005F3DDF" w:rsidP="005F3DDF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 w:rsidRPr="00020917">
        <w:rPr>
          <w:rFonts w:ascii="Arial" w:hAnsi="Arial" w:cs="Arial"/>
          <w:lang w:val="hr-HR"/>
        </w:rPr>
        <w:t>Za svaki negativan odgovor evidentirati slabost, odnosno nepravilnost u Planu otklanjanja slabosti i nepravilnosti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A4EBB"/>
    <w:multiLevelType w:val="hybridMultilevel"/>
    <w:tmpl w:val="8F74FD66"/>
    <w:lvl w:ilvl="0" w:tplc="2B467A4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8DC6CA9"/>
    <w:multiLevelType w:val="hybridMultilevel"/>
    <w:tmpl w:val="974EFCE4"/>
    <w:lvl w:ilvl="0" w:tplc="DAD0193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0D73D66"/>
    <w:multiLevelType w:val="hybridMultilevel"/>
    <w:tmpl w:val="40CC4410"/>
    <w:lvl w:ilvl="0" w:tplc="2E4C82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3172FF"/>
    <w:multiLevelType w:val="hybridMultilevel"/>
    <w:tmpl w:val="590EEFC6"/>
    <w:lvl w:ilvl="0" w:tplc="9B269E1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1D"/>
    <w:rsid w:val="0009387C"/>
    <w:rsid w:val="000C05AF"/>
    <w:rsid w:val="000C6F3F"/>
    <w:rsid w:val="000D03FF"/>
    <w:rsid w:val="000D1583"/>
    <w:rsid w:val="00116D9D"/>
    <w:rsid w:val="0016048A"/>
    <w:rsid w:val="0024695C"/>
    <w:rsid w:val="00290BCB"/>
    <w:rsid w:val="00294E1C"/>
    <w:rsid w:val="00295E3C"/>
    <w:rsid w:val="002C41F2"/>
    <w:rsid w:val="0032366C"/>
    <w:rsid w:val="00344636"/>
    <w:rsid w:val="003732B2"/>
    <w:rsid w:val="003A0B61"/>
    <w:rsid w:val="003C3556"/>
    <w:rsid w:val="003C771D"/>
    <w:rsid w:val="00486ED2"/>
    <w:rsid w:val="005C66C2"/>
    <w:rsid w:val="005F3DDF"/>
    <w:rsid w:val="005F4E51"/>
    <w:rsid w:val="00604C26"/>
    <w:rsid w:val="00643E8A"/>
    <w:rsid w:val="006A53B5"/>
    <w:rsid w:val="00752723"/>
    <w:rsid w:val="00786B77"/>
    <w:rsid w:val="00813BDE"/>
    <w:rsid w:val="009B2E49"/>
    <w:rsid w:val="009D25A8"/>
    <w:rsid w:val="00A96292"/>
    <w:rsid w:val="00AC6FD5"/>
    <w:rsid w:val="00AD1D57"/>
    <w:rsid w:val="00AF6753"/>
    <w:rsid w:val="00B501F2"/>
    <w:rsid w:val="00BC7640"/>
    <w:rsid w:val="00BD2DF6"/>
    <w:rsid w:val="00BE5A3C"/>
    <w:rsid w:val="00BE6230"/>
    <w:rsid w:val="00C40014"/>
    <w:rsid w:val="00C86E66"/>
    <w:rsid w:val="00CA21E5"/>
    <w:rsid w:val="00E279F7"/>
    <w:rsid w:val="00E377BD"/>
    <w:rsid w:val="00E65468"/>
    <w:rsid w:val="00E92359"/>
    <w:rsid w:val="00EA2CD2"/>
    <w:rsid w:val="00EC0C5B"/>
    <w:rsid w:val="00EF02EA"/>
    <w:rsid w:val="00F14D13"/>
    <w:rsid w:val="00F169D9"/>
    <w:rsid w:val="00F447BC"/>
    <w:rsid w:val="00F67B0E"/>
    <w:rsid w:val="00F756EE"/>
    <w:rsid w:val="00F922A5"/>
    <w:rsid w:val="00FA5FBB"/>
    <w:rsid w:val="00FE33CF"/>
    <w:rsid w:val="00FE438C"/>
    <w:rsid w:val="00FE4D1F"/>
    <w:rsid w:val="00FF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1-9-sred">
    <w:name w:val="t-11-9-sred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3C355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basedOn w:val="Zadanifontodlomka"/>
    <w:uiPriority w:val="99"/>
    <w:rsid w:val="003C355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F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438C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5F3DDF"/>
  </w:style>
  <w:style w:type="numbering" w:customStyle="1" w:styleId="NoList1">
    <w:name w:val="No List1"/>
    <w:next w:val="Bezpopisa"/>
    <w:uiPriority w:val="99"/>
    <w:semiHidden/>
    <w:unhideWhenUsed/>
    <w:rsid w:val="005F3DDF"/>
  </w:style>
  <w:style w:type="character" w:styleId="Referencakomentara">
    <w:name w:val="annotation reference"/>
    <w:basedOn w:val="Zadanifontodlomka"/>
    <w:uiPriority w:val="99"/>
    <w:semiHidden/>
    <w:rsid w:val="005F3DDF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DDF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F3D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DDF"/>
    <w:rPr>
      <w:rFonts w:ascii="Times New Roman" w:eastAsia="Times New Roman" w:hAnsi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rsid w:val="005F3DDF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F3DDF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5F3DDF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5F3DDF"/>
    <w:rPr>
      <w:rFonts w:cs="Times New Roman"/>
    </w:rPr>
  </w:style>
  <w:style w:type="paragraph" w:customStyle="1" w:styleId="Revision1">
    <w:name w:val="Revision1"/>
    <w:hidden/>
    <w:uiPriority w:val="99"/>
    <w:semiHidden/>
    <w:rsid w:val="005F3DDF"/>
    <w:rPr>
      <w:rFonts w:eastAsia="Times New Roman"/>
      <w:lang w:eastAsia="en-US"/>
    </w:rPr>
  </w:style>
  <w:style w:type="paragraph" w:styleId="Zaglavlje">
    <w:name w:val="header"/>
    <w:basedOn w:val="Normal"/>
    <w:link w:val="Zaglavl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5F3DDF"/>
    <w:rPr>
      <w:rFonts w:cs="Times New Roman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5F3DDF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5F3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C5B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1-9-sred">
    <w:name w:val="t-11-9-sred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hr-HR"/>
    </w:rPr>
  </w:style>
  <w:style w:type="paragraph" w:customStyle="1" w:styleId="t-12-9-fett-s">
    <w:name w:val="t-12-9-fett-s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3C3556"/>
    <w:pPr>
      <w:spacing w:before="100" w:beforeAutospacing="1" w:after="100" w:afterAutospacing="1" w:line="240" w:lineRule="auto"/>
      <w:ind w:left="7344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6"/>
      <w:szCs w:val="36"/>
      <w:lang w:eastAsia="hr-HR"/>
    </w:rPr>
  </w:style>
  <w:style w:type="paragraph" w:customStyle="1" w:styleId="clanak">
    <w:name w:val="clanak"/>
    <w:basedOn w:val="Normal"/>
    <w:uiPriority w:val="99"/>
    <w:rsid w:val="003C355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3C35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bold1">
    <w:name w:val="bold1"/>
    <w:basedOn w:val="Zadanifontodlomka"/>
    <w:uiPriority w:val="99"/>
    <w:rsid w:val="003C3556"/>
    <w:rPr>
      <w:rFonts w:cs="Times New Roman"/>
      <w:b/>
      <w:bCs/>
    </w:rPr>
  </w:style>
  <w:style w:type="paragraph" w:styleId="Tekstbalonia">
    <w:name w:val="Balloon Text"/>
    <w:basedOn w:val="Normal"/>
    <w:link w:val="TekstbaloniaChar"/>
    <w:uiPriority w:val="99"/>
    <w:semiHidden/>
    <w:rsid w:val="00FE4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E438C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5F3DDF"/>
  </w:style>
  <w:style w:type="numbering" w:customStyle="1" w:styleId="NoList1">
    <w:name w:val="No List1"/>
    <w:next w:val="Bezpopisa"/>
    <w:uiPriority w:val="99"/>
    <w:semiHidden/>
    <w:unhideWhenUsed/>
    <w:rsid w:val="005F3DDF"/>
  </w:style>
  <w:style w:type="character" w:styleId="Referencakomentara">
    <w:name w:val="annotation reference"/>
    <w:basedOn w:val="Zadanifontodlomka"/>
    <w:uiPriority w:val="99"/>
    <w:semiHidden/>
    <w:rsid w:val="005F3DDF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uiPriority w:val="99"/>
    <w:semiHidden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F3DDF"/>
    <w:rPr>
      <w:rFonts w:ascii="Times New Roman" w:eastAsia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5F3DD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F3DDF"/>
    <w:rPr>
      <w:rFonts w:ascii="Times New Roman" w:eastAsia="Times New Roman" w:hAnsi="Times New Roman"/>
      <w:b/>
      <w:bCs/>
      <w:sz w:val="20"/>
      <w:szCs w:val="20"/>
    </w:rPr>
  </w:style>
  <w:style w:type="character" w:styleId="Hiperveza">
    <w:name w:val="Hyperlink"/>
    <w:basedOn w:val="Zadanifontodlomka"/>
    <w:uiPriority w:val="99"/>
    <w:rsid w:val="005F3DDF"/>
    <w:rPr>
      <w:rFonts w:cs="Times New Roman"/>
      <w:color w:val="0000FF"/>
      <w:u w:val="single"/>
    </w:rPr>
  </w:style>
  <w:style w:type="paragraph" w:styleId="Tekstfusnote">
    <w:name w:val="footnote text"/>
    <w:aliases w:val="Fußnote,Footnote Text Char Char Char,Footnote Text Char Char"/>
    <w:basedOn w:val="Normal"/>
    <w:link w:val="TekstfusnoteChar"/>
    <w:uiPriority w:val="99"/>
    <w:rsid w:val="005F3DDF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TekstfusnoteChar">
    <w:name w:val="Tekst fusnote Char"/>
    <w:aliases w:val="Fußnote Char,Footnote Text Char Char Char Char,Footnote Text Char Char Char1"/>
    <w:basedOn w:val="Zadanifontodlomka"/>
    <w:link w:val="Tekstfusnote"/>
    <w:uiPriority w:val="99"/>
    <w:rsid w:val="005F3DDF"/>
    <w:rPr>
      <w:rFonts w:ascii="Times New Roman" w:eastAsia="Times New Roman" w:hAnsi="Times New Roman"/>
      <w:sz w:val="20"/>
      <w:szCs w:val="20"/>
      <w:lang w:val="en-US" w:eastAsia="en-US"/>
    </w:rPr>
  </w:style>
  <w:style w:type="character" w:styleId="Referencafusnote">
    <w:name w:val="footnote reference"/>
    <w:aliases w:val="BVI fnr"/>
    <w:basedOn w:val="Zadanifontodlomka"/>
    <w:uiPriority w:val="99"/>
    <w:rsid w:val="005F3DDF"/>
    <w:rPr>
      <w:rFonts w:cs="Times New Roman"/>
      <w:vertAlign w:val="superscript"/>
    </w:rPr>
  </w:style>
  <w:style w:type="paragraph" w:styleId="Podnoje">
    <w:name w:val="footer"/>
    <w:basedOn w:val="Normal"/>
    <w:link w:val="Podno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PodnojeChar">
    <w:name w:val="Podnožje Char"/>
    <w:basedOn w:val="Zadanifontodlomka"/>
    <w:link w:val="Podno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styleId="Brojstranice">
    <w:name w:val="page number"/>
    <w:basedOn w:val="Zadanifontodlomka"/>
    <w:uiPriority w:val="99"/>
    <w:rsid w:val="005F3DDF"/>
    <w:rPr>
      <w:rFonts w:cs="Times New Roman"/>
    </w:rPr>
  </w:style>
  <w:style w:type="paragraph" w:customStyle="1" w:styleId="Revision1">
    <w:name w:val="Revision1"/>
    <w:hidden/>
    <w:uiPriority w:val="99"/>
    <w:semiHidden/>
    <w:rsid w:val="005F3DDF"/>
    <w:rPr>
      <w:rFonts w:eastAsia="Times New Roman"/>
      <w:lang w:eastAsia="en-US"/>
    </w:rPr>
  </w:style>
  <w:style w:type="paragraph" w:styleId="Zaglavlje">
    <w:name w:val="header"/>
    <w:basedOn w:val="Normal"/>
    <w:link w:val="ZaglavljeChar"/>
    <w:uiPriority w:val="99"/>
    <w:rsid w:val="005F3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ZaglavljeChar">
    <w:name w:val="Zaglavlje Char"/>
    <w:basedOn w:val="Zadanifontodlomka"/>
    <w:link w:val="Zaglavlje"/>
    <w:uiPriority w:val="99"/>
    <w:rsid w:val="005F3DDF"/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apple-converted-space">
    <w:name w:val="apple-converted-space"/>
    <w:basedOn w:val="Zadanifontodlomka"/>
    <w:uiPriority w:val="99"/>
    <w:rsid w:val="005F3DDF"/>
    <w:rPr>
      <w:rFonts w:cs="Times New Roman"/>
    </w:rPr>
  </w:style>
  <w:style w:type="paragraph" w:customStyle="1" w:styleId="Odlomakpopisa1">
    <w:name w:val="Odlomak popisa1"/>
    <w:basedOn w:val="Normal"/>
    <w:next w:val="Odlomakpopisa"/>
    <w:uiPriority w:val="34"/>
    <w:qFormat/>
    <w:rsid w:val="005F3DDF"/>
    <w:pPr>
      <w:ind w:left="720"/>
      <w:contextualSpacing/>
    </w:pPr>
  </w:style>
  <w:style w:type="paragraph" w:styleId="Odlomakpopisa">
    <w:name w:val="List Paragraph"/>
    <w:basedOn w:val="Normal"/>
    <w:uiPriority w:val="34"/>
    <w:qFormat/>
    <w:rsid w:val="005F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066309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5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55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55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2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52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552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52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5527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255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552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552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552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552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552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25527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25527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255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2552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25527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25527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255269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25527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225526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22552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7225527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5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269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3AAE-5CFF-4954-A019-5C02C2A2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3748</Words>
  <Characters>25000</Characters>
  <Application>Microsoft Office Word</Application>
  <DocSecurity>0</DocSecurity>
  <Lines>208</Lines>
  <Paragraphs>57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7</vt:lpstr>
      <vt:lpstr>Na temelju članka 7</vt:lpstr>
    </vt:vector>
  </TitlesOfParts>
  <Company/>
  <LinksUpToDate>false</LinksUpToDate>
  <CharactersWithSpaces>28691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7</dc:title>
  <dc:creator>mfkor</dc:creator>
  <cp:lastModifiedBy>mfkor</cp:lastModifiedBy>
  <cp:revision>2</cp:revision>
  <cp:lastPrinted>2015-10-19T08:19:00Z</cp:lastPrinted>
  <dcterms:created xsi:type="dcterms:W3CDTF">2015-11-05T11:04:00Z</dcterms:created>
  <dcterms:modified xsi:type="dcterms:W3CDTF">2015-11-05T11:04:00Z</dcterms:modified>
</cp:coreProperties>
</file>